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240" w:before="120" w:after="120"/>
        <w:ind w:left="120" w:right="120" w:hanging="0"/>
        <w:jc w:val="center"/>
        <w:rPr>
          <w:rFonts w:ascii="Calibri" w:hAnsi="Calibri" w:eastAsia="Calibri" w:cs="Calibri"/>
          <w:sz w:val="24"/>
          <w:szCs w:val="24"/>
        </w:rPr>
      </w:pPr>
      <w:r>
        <w:rPr>
          <w:rFonts w:eastAsia="Calibri" w:cs="Calibri" w:ascii="Calibri" w:hAnsi="Calibri"/>
          <w:b/>
          <w:sz w:val="24"/>
          <w:szCs w:val="24"/>
        </w:rPr>
        <w:t>EDITAL DE FOMENTO A PRODUÇÕES AUDIOVISUAIS - LEI PAULO GUSTAVO MASSAPÊ/CE - EDITAL Nº 04/2023 - AUDIOVISUAL</w:t>
      </w:r>
    </w:p>
    <w:p>
      <w:pPr>
        <w:pStyle w:val="Normal1"/>
        <w:spacing w:lineRule="auto" w:line="240" w:before="120" w:after="120"/>
        <w:ind w:left="120" w:right="120" w:hanging="0"/>
        <w:jc w:val="center"/>
        <w:rPr>
          <w:rFonts w:ascii="Calibri" w:hAnsi="Calibri" w:eastAsia="Calibri" w:cs="Calibri"/>
          <w:sz w:val="24"/>
          <w:szCs w:val="24"/>
        </w:rPr>
      </w:pPr>
      <w:r>
        <w:rPr>
          <w:rFonts w:eastAsia="Calibri" w:cs="Calibri" w:ascii="Calibri" w:hAnsi="Calibri"/>
          <w:sz w:val="24"/>
          <w:szCs w:val="24"/>
        </w:rPr>
        <w:t> </w:t>
      </w:r>
    </w:p>
    <w:p>
      <w:pPr>
        <w:pStyle w:val="Normal1"/>
        <w:spacing w:lineRule="auto" w:line="240" w:before="120" w:after="120"/>
        <w:ind w:left="120" w:right="120" w:hanging="0"/>
        <w:jc w:val="both"/>
        <w:rPr>
          <w:rFonts w:ascii="Calibri" w:hAnsi="Calibri" w:eastAsia="Calibri" w:cs="Calibri"/>
          <w:sz w:val="24"/>
          <w:szCs w:val="24"/>
          <w:highlight w:val="yellow"/>
        </w:rPr>
      </w:pPr>
      <w:r>
        <w:rPr>
          <w:rFonts w:eastAsia="Calibri" w:cs="Calibri" w:ascii="Calibri" w:hAnsi="Calibri"/>
          <w:sz w:val="24"/>
          <w:szCs w:val="24"/>
        </w:rPr>
        <w:t xml:space="preserve">O Município de Massapê/CE, inscrito no CNPJ sob o nº 07.598.691/0001-16, por meio da Secretaria da Juventude, Desporto, Cultura, Turismo e Lazer, com fundamento na Lei Complementar nº 195/2022 (Lei Paulo Gustavo); no Decreto nº 11.525/2023 (Decreto de Regulamentação da Lei Paulo Gustavo); no Decreto nº 11.453/2023; e, no que couber, nas demais legislações aplicáveis à matéria, torna público o presente </w:t>
      </w:r>
      <w:r>
        <w:rPr>
          <w:rFonts w:eastAsia="Calibri" w:cs="Calibri" w:ascii="Calibri" w:hAnsi="Calibri"/>
          <w:b/>
          <w:sz w:val="24"/>
          <w:szCs w:val="24"/>
        </w:rPr>
        <w:t xml:space="preserve">EDITAL, </w:t>
      </w:r>
      <w:r>
        <w:rPr>
          <w:rFonts w:eastAsia="Calibri" w:cs="Calibri" w:ascii="Calibri" w:hAnsi="Calibri"/>
          <w:sz w:val="24"/>
          <w:szCs w:val="24"/>
        </w:rPr>
        <w:t>que contém os seguintes anexos:</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Anexo I - Formulário de Inscrição e Proposta de Plano de Trabalho;</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 xml:space="preserve">Anexo II - Declaração de representação de grupo ou coletivo;  </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Anexo III - Declaração étnico-racial;</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Anexo IV - Declaração de residência;</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Anexo V - Formulário de Recurso;</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Anexo VI - Minuta do Termo de Execução Cultural;</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Anexo VII - Relatório de Execução do Objeto.</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t>1. APRESENTAÇÃO</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1.1. A Lei Paulo Gustavo, que fundamenta o presente Edital, é uma norma que dispõe sobre a concessão de apoio financeiro da União aos Estados, Distrito Federal e Municípios para realização de ações culturais, simbolizando o processo de resistência da classe artística durante a pandemia de Covid-19, que limitou severamente as atividades do setor 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 Com base nessa Lei, o Município de Massapê recebeu recursos a serem destinados para ações culturais (tanto ações especificamente do setor audiovisual quanto ações culturais em geral) selecionadas por meio de seleção pública.</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sz w:val="24"/>
          <w:szCs w:val="24"/>
        </w:rPr>
        <w:t>1.3. O presente Edital é uma das ações de execução da Lei Paulo Gustavo no Município de Massapê, sendo lançado para seleção de projetos de ações culturais de audiovisual, com base nos arts. 5º e 6º da Lei Paulo Gustavo.</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2. OBJETIVOS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2.1. O objeto deste Edital é a seleção de projetos de execução de ações culturais de audiovisual, nas categorias listadas, para receberem apoio financeiro por meio da celebração de Termo de Execução 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2.2. O Edital tem os seguintes objetivos:</w:t>
      </w:r>
    </w:p>
    <w:p>
      <w:pPr>
        <w:pStyle w:val="Normal1"/>
        <w:numPr>
          <w:ilvl w:val="0"/>
          <w:numId w:val="1"/>
        </w:numPr>
        <w:spacing w:lineRule="auto" w:line="240" w:before="120" w:after="0"/>
        <w:ind w:left="720" w:right="120" w:hanging="360"/>
        <w:jc w:val="both"/>
        <w:rPr>
          <w:rFonts w:ascii="Calibri" w:hAnsi="Calibri" w:eastAsia="Calibri" w:cs="Calibri"/>
          <w:sz w:val="24"/>
          <w:szCs w:val="24"/>
        </w:rPr>
      </w:pPr>
      <w:r>
        <w:rPr>
          <w:rFonts w:eastAsia="Calibri" w:cs="Calibri" w:ascii="Calibri" w:hAnsi="Calibri"/>
          <w:sz w:val="24"/>
          <w:szCs w:val="24"/>
        </w:rPr>
        <w:t>Contribuir para o enfrentamento dos impactos da pandemia de Covid-19 no setor cultural do Município de Massapê;</w:t>
      </w:r>
    </w:p>
    <w:p>
      <w:pPr>
        <w:pStyle w:val="Normal1"/>
        <w:numPr>
          <w:ilvl w:val="0"/>
          <w:numId w:val="1"/>
        </w:numPr>
        <w:spacing w:lineRule="auto" w:line="240" w:before="120" w:after="120"/>
        <w:ind w:left="720" w:right="120" w:hanging="360"/>
        <w:jc w:val="both"/>
        <w:rPr>
          <w:rFonts w:ascii="Calibri" w:hAnsi="Calibri" w:eastAsia="Calibri" w:cs="Calibri"/>
          <w:sz w:val="24"/>
          <w:szCs w:val="24"/>
        </w:rPr>
      </w:pPr>
      <w:r>
        <w:rPr>
          <w:rFonts w:eastAsia="Calibri" w:cs="Calibri" w:ascii="Calibri" w:hAnsi="Calibri"/>
          <w:sz w:val="24"/>
          <w:szCs w:val="24"/>
        </w:rPr>
        <w:t>Fortalecer a política de audiovisual e contribuir para o fortalecimento da cadeia produtiva do setor audiovisual no Município;</w:t>
      </w:r>
    </w:p>
    <w:p>
      <w:pPr>
        <w:pStyle w:val="Normal1"/>
        <w:keepNext w:val="false"/>
        <w:keepLines w:val="false"/>
        <w:pageBreakBefore w:val="false"/>
        <w:widowControl/>
        <w:numPr>
          <w:ilvl w:val="0"/>
          <w:numId w:val="1"/>
        </w:numPr>
        <w:pBdr/>
        <w:shd w:val="clear" w:fill="auto"/>
        <w:spacing w:lineRule="auto" w:line="240" w:before="120" w:after="120"/>
        <w:ind w:left="720" w:right="120" w:hanging="360"/>
        <w:jc w:val="both"/>
        <w:rPr>
          <w:rFonts w:ascii="Calibri" w:hAnsi="Calibri" w:eastAsia="Calibri" w:cs="Calibri"/>
          <w:sz w:val="24"/>
          <w:szCs w:val="24"/>
        </w:rPr>
      </w:pPr>
      <w:r>
        <w:rPr>
          <w:rFonts w:eastAsia="Calibri" w:cs="Calibri" w:ascii="Calibri" w:hAnsi="Calibri"/>
          <w:sz w:val="24"/>
          <w:szCs w:val="24"/>
        </w:rPr>
        <w:t>Contribuir para a efetivação dos direitos culturais da população e para a promoção e proteção da diversidade cultural;</w:t>
      </w:r>
    </w:p>
    <w:p>
      <w:pPr>
        <w:pStyle w:val="Normal1"/>
        <w:keepNext w:val="false"/>
        <w:keepLines w:val="false"/>
        <w:pageBreakBefore w:val="false"/>
        <w:widowControl/>
        <w:numPr>
          <w:ilvl w:val="0"/>
          <w:numId w:val="1"/>
        </w:numPr>
        <w:pBdr/>
        <w:shd w:val="clear" w:fill="auto"/>
        <w:spacing w:lineRule="auto" w:line="240" w:before="120" w:after="120"/>
        <w:ind w:left="720" w:right="120" w:hanging="360"/>
        <w:jc w:val="both"/>
        <w:rPr>
          <w:rFonts w:ascii="Calibri" w:hAnsi="Calibri" w:eastAsia="Calibri" w:cs="Calibri"/>
          <w:sz w:val="24"/>
          <w:szCs w:val="24"/>
        </w:rPr>
      </w:pPr>
      <w:r>
        <w:rPr>
          <w:rFonts w:eastAsia="Calibri" w:cs="Calibri" w:ascii="Calibri" w:hAnsi="Calibri"/>
          <w:sz w:val="24"/>
          <w:szCs w:val="24"/>
        </w:rPr>
        <w:t>Apoiar o desenvolvimento de atividades de economia criativa, reconhecendo o papel da cultura, e em especial do setor audiovisual, para o desenvolvimento sustentável e a geração de empregos.</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t>3.  RECURSOS INVESTIDOS, CATEGORIAS E VALORES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3.1. O valor total disponibilizado para este Edital é de:</w:t>
      </w:r>
    </w:p>
    <w:p>
      <w:pPr>
        <w:pStyle w:val="Normal1"/>
        <w:widowControl w:val="false"/>
        <w:tabs>
          <w:tab w:val="clear" w:pos="720"/>
          <w:tab w:val="left" w:pos="493" w:leader="none"/>
        </w:tabs>
        <w:spacing w:lineRule="auto" w:line="240" w:before="120" w:after="0"/>
        <w:ind w:right="235" w:hanging="0"/>
        <w:jc w:val="both"/>
        <w:rPr>
          <w:rFonts w:ascii="Calibri" w:hAnsi="Calibri" w:eastAsia="Calibri" w:cs="Calibri"/>
          <w:sz w:val="24"/>
          <w:szCs w:val="24"/>
        </w:rPr>
      </w:pPr>
      <w:r>
        <w:rPr>
          <w:rFonts w:eastAsia="Calibri" w:cs="Calibri" w:ascii="Calibri" w:hAnsi="Calibri"/>
          <w:sz w:val="24"/>
          <w:szCs w:val="24"/>
        </w:rPr>
        <w:t xml:space="preserve">Inciso I -  Apoio a produção de obras audiovisuais: o valor do investimento de </w:t>
      </w:r>
      <w:r>
        <w:rPr>
          <w:rFonts w:eastAsia="Calibri" w:cs="Calibri" w:ascii="Calibri" w:hAnsi="Calibri"/>
          <w:b/>
          <w:sz w:val="24"/>
          <w:szCs w:val="24"/>
        </w:rPr>
        <w:t>R$ 150.000,00 (cento cinquenta mil reais)</w:t>
      </w:r>
      <w:r>
        <w:rPr>
          <w:rFonts w:eastAsia="Calibri" w:cs="Calibri" w:ascii="Calibri" w:hAnsi="Calibri"/>
          <w:sz w:val="24"/>
          <w:szCs w:val="24"/>
        </w:rPr>
        <w:t xml:space="preserve"> para apoio a produção de obras audiovisuais, de curtas-metragem, webséries, videoclipes, vídeo-dança, video-cast e videoartes;</w:t>
      </w:r>
    </w:p>
    <w:p>
      <w:pPr>
        <w:pStyle w:val="Normal1"/>
        <w:widowControl w:val="false"/>
        <w:spacing w:lineRule="auto" w:line="240" w:before="3" w:after="0"/>
        <w:rPr>
          <w:rFonts w:ascii="Calibri" w:hAnsi="Calibri" w:eastAsia="Calibri" w:cs="Calibri"/>
          <w:b/>
          <w:b/>
          <w:sz w:val="24"/>
          <w:szCs w:val="24"/>
        </w:rPr>
      </w:pPr>
      <w:r>
        <w:rPr>
          <w:rFonts w:eastAsia="Calibri" w:cs="Calibri" w:ascii="Calibri" w:hAnsi="Calibri"/>
          <w:b/>
          <w:sz w:val="24"/>
          <w:szCs w:val="24"/>
        </w:rPr>
      </w:r>
    </w:p>
    <w:tbl>
      <w:tblPr>
        <w:tblStyle w:val="Table1"/>
        <w:tblW w:w="10695" w:type="dxa"/>
        <w:jc w:val="left"/>
        <w:tblInd w:w="-785" w:type="dxa"/>
        <w:tblLayout w:type="fixed"/>
        <w:tblCellMar>
          <w:top w:w="0" w:type="dxa"/>
          <w:left w:w="108" w:type="dxa"/>
          <w:bottom w:w="0" w:type="dxa"/>
          <w:right w:w="108" w:type="dxa"/>
        </w:tblCellMar>
        <w:tblLook w:val="0000"/>
      </w:tblPr>
      <w:tblGrid>
        <w:gridCol w:w="3525"/>
        <w:gridCol w:w="1785"/>
        <w:gridCol w:w="2594"/>
        <w:gridCol w:w="2790"/>
      </w:tblGrid>
      <w:tr>
        <w:trPr>
          <w:tblHeader w:val="true"/>
          <w:trHeight w:val="990" w:hRule="atLeast"/>
        </w:trPr>
        <w:tc>
          <w:tcPr>
            <w:tcW w:w="3525"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1"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left="678" w:hanging="0"/>
              <w:rPr>
                <w:rFonts w:ascii="Calibri" w:hAnsi="Calibri" w:eastAsia="Calibri" w:cs="Calibri"/>
                <w:b/>
                <w:b/>
                <w:sz w:val="24"/>
                <w:szCs w:val="24"/>
              </w:rPr>
            </w:pPr>
            <w:r>
              <w:rPr>
                <w:rFonts w:eastAsia="Calibri" w:cs="Calibri" w:ascii="Calibri" w:hAnsi="Calibri"/>
                <w:b/>
                <w:sz w:val="24"/>
                <w:szCs w:val="24"/>
              </w:rPr>
              <w:t>CATEGORIAS</w:t>
            </w:r>
          </w:p>
        </w:tc>
        <w:tc>
          <w:tcPr>
            <w:tcW w:w="1785"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116" w:after="0"/>
              <w:ind w:left="272" w:right="236" w:hanging="0"/>
              <w:rPr>
                <w:rFonts w:ascii="Calibri" w:hAnsi="Calibri" w:eastAsia="Calibri" w:cs="Calibri"/>
                <w:b/>
                <w:b/>
                <w:sz w:val="24"/>
                <w:szCs w:val="24"/>
              </w:rPr>
            </w:pPr>
            <w:r>
              <w:rPr>
                <w:rFonts w:eastAsia="Calibri" w:cs="Calibri" w:ascii="Calibri" w:hAnsi="Calibri"/>
                <w:b/>
                <w:sz w:val="24"/>
                <w:szCs w:val="24"/>
              </w:rPr>
              <w:t>TOTAL DE VAGAS POR CATEGORIA</w:t>
            </w:r>
          </w:p>
        </w:tc>
        <w:tc>
          <w:tcPr>
            <w:tcW w:w="2594"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1"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left="737" w:right="91" w:hanging="605"/>
              <w:rPr>
                <w:rFonts w:ascii="Calibri" w:hAnsi="Calibri" w:eastAsia="Calibri" w:cs="Calibri"/>
                <w:b/>
                <w:b/>
                <w:sz w:val="24"/>
                <w:szCs w:val="24"/>
              </w:rPr>
            </w:pPr>
            <w:r>
              <w:rPr>
                <w:rFonts w:eastAsia="Calibri" w:cs="Calibri" w:ascii="Calibri" w:hAnsi="Calibri"/>
                <w:b/>
                <w:sz w:val="24"/>
                <w:szCs w:val="24"/>
              </w:rPr>
              <w:t>VALOR MÁXIMO POR PROJETO</w:t>
            </w:r>
          </w:p>
        </w:tc>
        <w:tc>
          <w:tcPr>
            <w:tcW w:w="2790"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1"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left="849" w:right="504" w:hanging="302"/>
              <w:rPr>
                <w:rFonts w:ascii="Calibri" w:hAnsi="Calibri" w:eastAsia="Calibri" w:cs="Calibri"/>
                <w:b/>
                <w:b/>
                <w:sz w:val="24"/>
                <w:szCs w:val="24"/>
              </w:rPr>
            </w:pPr>
            <w:r>
              <w:rPr>
                <w:rFonts w:eastAsia="Calibri" w:cs="Calibri" w:ascii="Calibri" w:hAnsi="Calibri"/>
                <w:b/>
                <w:sz w:val="24"/>
                <w:szCs w:val="24"/>
              </w:rPr>
              <w:t>VALOR TOTAL DA CATEGORIA</w:t>
            </w:r>
          </w:p>
        </w:tc>
      </w:tr>
      <w:tr>
        <w:trPr>
          <w:trHeight w:val="1395" w:hRule="atLeast"/>
        </w:trPr>
        <w:tc>
          <w:tcPr>
            <w:tcW w:w="3525" w:type="dxa"/>
            <w:tcBorders>
              <w:top w:val="single" w:sz="12" w:space="0" w:color="000000"/>
              <w:left w:val="single" w:sz="12" w:space="0" w:color="000000"/>
              <w:bottom w:val="single" w:sz="12" w:space="0" w:color="000000"/>
              <w:right w:val="single" w:sz="12" w:space="0" w:color="000000"/>
            </w:tcBorders>
          </w:tcPr>
          <w:p>
            <w:pPr>
              <w:pStyle w:val="Normal1"/>
              <w:widowControl w:val="false"/>
              <w:tabs>
                <w:tab w:val="clear" w:pos="720"/>
                <w:tab w:val="left" w:pos="2436" w:leader="none"/>
              </w:tabs>
              <w:spacing w:lineRule="auto" w:line="276" w:before="110" w:after="0"/>
              <w:ind w:left="120" w:right="103" w:hanging="0"/>
              <w:jc w:val="both"/>
              <w:rPr>
                <w:rFonts w:ascii="Calibri" w:hAnsi="Calibri" w:eastAsia="Calibri" w:cs="Calibri"/>
                <w:sz w:val="24"/>
                <w:szCs w:val="24"/>
              </w:rPr>
            </w:pPr>
            <w:r>
              <w:rPr>
                <w:rFonts w:eastAsia="Calibri" w:cs="Calibri" w:ascii="Calibri" w:hAnsi="Calibri"/>
                <w:b/>
                <w:sz w:val="24"/>
                <w:szCs w:val="24"/>
              </w:rPr>
              <w:t xml:space="preserve">Inciso I </w:t>
            </w:r>
            <w:r>
              <w:rPr>
                <w:rFonts w:eastAsia="Calibri" w:cs="Calibri" w:ascii="Calibri" w:hAnsi="Calibri"/>
                <w:sz w:val="24"/>
                <w:szCs w:val="24"/>
              </w:rPr>
              <w:t>- Apoio a produção de obra audiovisual</w:t>
              <w:tab/>
              <w:t>de curta-metragem (ficção documentários e outros);</w:t>
            </w:r>
          </w:p>
        </w:tc>
        <w:tc>
          <w:tcPr>
            <w:tcW w:w="1785"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214" w:after="0"/>
              <w:ind w:right="764" w:hanging="0"/>
              <w:jc w:val="center"/>
              <w:rPr>
                <w:rFonts w:ascii="Calibri" w:hAnsi="Calibri" w:eastAsia="Calibri" w:cs="Calibri"/>
                <w:b/>
                <w:b/>
                <w:sz w:val="24"/>
                <w:szCs w:val="24"/>
              </w:rPr>
            </w:pPr>
            <w:r>
              <w:rPr>
                <w:rFonts w:eastAsia="Calibri" w:cs="Calibri" w:ascii="Calibri" w:hAnsi="Calibri"/>
                <w:b/>
                <w:sz w:val="24"/>
                <w:szCs w:val="24"/>
              </w:rPr>
            </w:r>
          </w:p>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sz w:val="24"/>
                <w:szCs w:val="24"/>
              </w:rPr>
            </w:pPr>
            <w:r>
              <w:rPr>
                <w:rFonts w:eastAsia="Calibri" w:cs="Calibri" w:ascii="Calibri" w:hAnsi="Calibri"/>
                <w:sz w:val="24"/>
                <w:szCs w:val="24"/>
              </w:rPr>
              <w:t>05</w:t>
            </w:r>
          </w:p>
        </w:tc>
        <w:tc>
          <w:tcPr>
            <w:tcW w:w="2594"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214" w:after="0"/>
              <w:ind w:right="566" w:hanging="0"/>
              <w:jc w:val="right"/>
              <w:rPr>
                <w:rFonts w:ascii="Calibri" w:hAnsi="Calibri" w:eastAsia="Calibri" w:cs="Calibri"/>
                <w:sz w:val="24"/>
                <w:szCs w:val="24"/>
              </w:rPr>
            </w:pPr>
            <w:r>
              <w:rPr>
                <w:rFonts w:eastAsia="Calibri" w:cs="Calibri" w:ascii="Calibri" w:hAnsi="Calibri"/>
                <w:sz w:val="24"/>
                <w:szCs w:val="24"/>
              </w:rPr>
              <w:t>R$ 12.000,00</w:t>
            </w:r>
          </w:p>
        </w:tc>
        <w:tc>
          <w:tcPr>
            <w:tcW w:w="2790"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214" w:after="0"/>
              <w:ind w:right="730" w:hanging="0"/>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R$ 60.000,00</w:t>
            </w:r>
          </w:p>
        </w:tc>
      </w:tr>
      <w:tr>
        <w:trPr>
          <w:trHeight w:val="1170" w:hRule="atLeast"/>
        </w:trPr>
        <w:tc>
          <w:tcPr>
            <w:tcW w:w="3525" w:type="dxa"/>
            <w:tcBorders>
              <w:top w:val="single" w:sz="12" w:space="0" w:color="000000"/>
              <w:left w:val="single" w:sz="12" w:space="0" w:color="000000"/>
              <w:bottom w:val="single" w:sz="12" w:space="0" w:color="000000"/>
              <w:right w:val="single" w:sz="12" w:space="0" w:color="000000"/>
            </w:tcBorders>
          </w:tcPr>
          <w:p>
            <w:pPr>
              <w:pStyle w:val="Normal1"/>
              <w:widowControl w:val="false"/>
              <w:tabs>
                <w:tab w:val="clear" w:pos="720"/>
                <w:tab w:val="left" w:pos="2549" w:leader="none"/>
              </w:tabs>
              <w:spacing w:lineRule="auto" w:line="276" w:before="117" w:after="0"/>
              <w:ind w:left="120" w:right="107" w:hanging="0"/>
              <w:jc w:val="both"/>
              <w:rPr>
                <w:rFonts w:ascii="Calibri" w:hAnsi="Calibri" w:eastAsia="Calibri" w:cs="Calibri"/>
                <w:sz w:val="24"/>
                <w:szCs w:val="24"/>
              </w:rPr>
            </w:pPr>
            <w:r>
              <w:rPr>
                <w:rFonts w:eastAsia="Calibri" w:cs="Calibri" w:ascii="Calibri" w:hAnsi="Calibri"/>
                <w:b/>
                <w:sz w:val="24"/>
                <w:szCs w:val="24"/>
              </w:rPr>
              <w:t xml:space="preserve">Inciso I </w:t>
            </w:r>
            <w:r>
              <w:rPr>
                <w:rFonts w:eastAsia="Calibri" w:cs="Calibri" w:ascii="Calibri" w:hAnsi="Calibri"/>
                <w:sz w:val="24"/>
                <w:szCs w:val="24"/>
              </w:rPr>
              <w:t>- Produção de websérie (ficção, documentário, animação e outros);</w:t>
            </w:r>
          </w:p>
        </w:tc>
        <w:tc>
          <w:tcPr>
            <w:tcW w:w="1785"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jc w:val="center"/>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jc w:val="center"/>
              <w:rPr>
                <w:rFonts w:ascii="Calibri" w:hAnsi="Calibri" w:eastAsia="Calibri" w:cs="Calibri"/>
                <w:sz w:val="24"/>
                <w:szCs w:val="24"/>
              </w:rPr>
            </w:pPr>
            <w:r>
              <w:rPr>
                <w:rFonts w:eastAsia="Calibri" w:cs="Calibri" w:ascii="Calibri" w:hAnsi="Calibri"/>
                <w:sz w:val="24"/>
                <w:szCs w:val="24"/>
              </w:rPr>
              <w:t>03</w:t>
            </w:r>
          </w:p>
        </w:tc>
        <w:tc>
          <w:tcPr>
            <w:tcW w:w="2594"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right="566" w:hanging="0"/>
              <w:jc w:val="right"/>
              <w:rPr>
                <w:rFonts w:ascii="Calibri" w:hAnsi="Calibri" w:eastAsia="Calibri" w:cs="Calibri"/>
                <w:sz w:val="24"/>
                <w:szCs w:val="24"/>
              </w:rPr>
            </w:pPr>
            <w:r>
              <w:rPr>
                <w:rFonts w:eastAsia="Calibri" w:cs="Calibri" w:ascii="Calibri" w:hAnsi="Calibri"/>
                <w:sz w:val="24"/>
                <w:szCs w:val="24"/>
              </w:rPr>
              <w:t>R$ 6.000,00</w:t>
            </w:r>
          </w:p>
        </w:tc>
        <w:tc>
          <w:tcPr>
            <w:tcW w:w="2790"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right="730" w:hanging="0"/>
              <w:rPr>
                <w:rFonts w:ascii="Calibri" w:hAnsi="Calibri" w:eastAsia="Calibri" w:cs="Calibri"/>
                <w:sz w:val="24"/>
                <w:szCs w:val="24"/>
              </w:rPr>
            </w:pPr>
            <w:r>
              <w:rPr>
                <w:rFonts w:eastAsia="Calibri" w:cs="Calibri" w:ascii="Calibri" w:hAnsi="Calibri"/>
                <w:b/>
                <w:sz w:val="24"/>
                <w:szCs w:val="24"/>
              </w:rPr>
              <w:t xml:space="preserve">             </w:t>
            </w:r>
            <w:r>
              <w:rPr>
                <w:rFonts w:eastAsia="Calibri" w:cs="Calibri" w:ascii="Calibri" w:hAnsi="Calibri"/>
                <w:sz w:val="24"/>
                <w:szCs w:val="24"/>
              </w:rPr>
              <w:t>R$ 18.000,00</w:t>
            </w:r>
          </w:p>
        </w:tc>
      </w:tr>
      <w:tr>
        <w:trPr>
          <w:trHeight w:val="729" w:hRule="atLeast"/>
        </w:trPr>
        <w:tc>
          <w:tcPr>
            <w:tcW w:w="3525"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76" w:before="124" w:after="0"/>
              <w:ind w:left="120" w:hanging="0"/>
              <w:jc w:val="both"/>
              <w:rPr>
                <w:rFonts w:ascii="Calibri" w:hAnsi="Calibri" w:eastAsia="Calibri" w:cs="Calibri"/>
                <w:sz w:val="24"/>
                <w:szCs w:val="24"/>
              </w:rPr>
            </w:pPr>
            <w:r>
              <w:rPr>
                <w:rFonts w:eastAsia="Calibri" w:cs="Calibri" w:ascii="Calibri" w:hAnsi="Calibri"/>
                <w:b/>
                <w:sz w:val="24"/>
                <w:szCs w:val="24"/>
              </w:rPr>
              <w:t xml:space="preserve">Inciso I </w:t>
            </w:r>
            <w:r>
              <w:rPr>
                <w:rFonts w:eastAsia="Calibri" w:cs="Calibri" w:ascii="Calibri" w:hAnsi="Calibri"/>
                <w:sz w:val="24"/>
                <w:szCs w:val="24"/>
              </w:rPr>
              <w:t>- Produção de Videoclipes</w:t>
            </w:r>
          </w:p>
        </w:tc>
        <w:tc>
          <w:tcPr>
            <w:tcW w:w="1785" w:type="dxa"/>
            <w:tcBorders>
              <w:top w:val="single" w:sz="12" w:space="0" w:color="000000"/>
              <w:left w:val="single" w:sz="12" w:space="0" w:color="000000"/>
              <w:bottom w:val="single" w:sz="12" w:space="0" w:color="000000"/>
              <w:right w:val="single" w:sz="12" w:space="0" w:color="000000"/>
            </w:tcBorders>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sz w:val="24"/>
                <w:szCs w:val="24"/>
              </w:rPr>
            </w:pPr>
            <w:r>
              <w:rPr>
                <w:rFonts w:eastAsia="Calibri" w:cs="Calibri" w:ascii="Calibri" w:hAnsi="Calibri"/>
                <w:sz w:val="24"/>
                <w:szCs w:val="24"/>
              </w:rPr>
            </w:r>
          </w:p>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sz w:val="24"/>
                <w:szCs w:val="24"/>
              </w:rPr>
            </w:pPr>
            <w:r>
              <w:rPr>
                <w:rFonts w:eastAsia="Calibri" w:cs="Calibri" w:ascii="Calibri" w:hAnsi="Calibri"/>
                <w:sz w:val="24"/>
                <w:szCs w:val="24"/>
              </w:rPr>
              <w:t>06</w:t>
            </w:r>
          </w:p>
        </w:tc>
        <w:tc>
          <w:tcPr>
            <w:tcW w:w="2594"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9"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right="566" w:hanging="0"/>
              <w:jc w:val="right"/>
              <w:rPr>
                <w:rFonts w:ascii="Calibri" w:hAnsi="Calibri" w:eastAsia="Calibri" w:cs="Calibri"/>
                <w:sz w:val="24"/>
                <w:szCs w:val="24"/>
              </w:rPr>
            </w:pPr>
            <w:r>
              <w:rPr>
                <w:rFonts w:eastAsia="Calibri" w:cs="Calibri" w:ascii="Calibri" w:hAnsi="Calibri"/>
                <w:sz w:val="24"/>
                <w:szCs w:val="24"/>
              </w:rPr>
              <w:t>R$ 6.000,00</w:t>
            </w:r>
          </w:p>
        </w:tc>
        <w:tc>
          <w:tcPr>
            <w:tcW w:w="2790"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9"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right="730" w:hanging="0"/>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R$ 36.000,00</w:t>
            </w:r>
          </w:p>
        </w:tc>
      </w:tr>
      <w:tr>
        <w:trPr>
          <w:trHeight w:val="729" w:hRule="atLeast"/>
        </w:trPr>
        <w:tc>
          <w:tcPr>
            <w:tcW w:w="3525"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76" w:before="124" w:after="0"/>
              <w:ind w:left="120" w:right="123" w:hanging="0"/>
              <w:jc w:val="both"/>
              <w:rPr>
                <w:rFonts w:ascii="Calibri" w:hAnsi="Calibri" w:eastAsia="Calibri" w:cs="Calibri"/>
                <w:sz w:val="24"/>
                <w:szCs w:val="24"/>
              </w:rPr>
            </w:pPr>
            <w:r>
              <w:rPr>
                <w:rFonts w:eastAsia="Calibri" w:cs="Calibri" w:ascii="Calibri" w:hAnsi="Calibri"/>
                <w:b/>
                <w:sz w:val="24"/>
                <w:szCs w:val="24"/>
              </w:rPr>
              <w:t>Inciso I -</w:t>
            </w:r>
            <w:r>
              <w:rPr>
                <w:rFonts w:eastAsia="Calibri" w:cs="Calibri" w:ascii="Calibri" w:hAnsi="Calibri"/>
                <w:sz w:val="24"/>
                <w:szCs w:val="24"/>
              </w:rPr>
              <w:t xml:space="preserve"> Produção de Vídeo-dança, video-cast e videoarte.</w:t>
            </w:r>
          </w:p>
        </w:tc>
        <w:tc>
          <w:tcPr>
            <w:tcW w:w="1785"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jc w:val="center"/>
              <w:rPr>
                <w:rFonts w:ascii="Calibri" w:hAnsi="Calibri" w:eastAsia="Calibri" w:cs="Calibri"/>
                <w:sz w:val="24"/>
                <w:szCs w:val="24"/>
              </w:rPr>
            </w:pPr>
            <w:r>
              <w:rPr>
                <w:rFonts w:eastAsia="Calibri" w:cs="Calibri" w:ascii="Calibri" w:hAnsi="Calibri"/>
                <w:sz w:val="24"/>
                <w:szCs w:val="24"/>
              </w:rPr>
            </w:r>
          </w:p>
          <w:p>
            <w:pPr>
              <w:pStyle w:val="Normal1"/>
              <w:widowControl w:val="false"/>
              <w:spacing w:lineRule="auto" w:line="240"/>
              <w:jc w:val="center"/>
              <w:rPr>
                <w:rFonts w:ascii="Calibri" w:hAnsi="Calibri" w:eastAsia="Calibri" w:cs="Calibri"/>
                <w:sz w:val="24"/>
                <w:szCs w:val="24"/>
              </w:rPr>
            </w:pPr>
            <w:r>
              <w:rPr>
                <w:rFonts w:eastAsia="Calibri" w:cs="Calibri" w:ascii="Calibri" w:hAnsi="Calibri"/>
                <w:sz w:val="24"/>
                <w:szCs w:val="24"/>
              </w:rPr>
              <w:t>06</w:t>
            </w:r>
          </w:p>
        </w:tc>
        <w:tc>
          <w:tcPr>
            <w:tcW w:w="2594"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9"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right="566" w:hanging="0"/>
              <w:jc w:val="right"/>
              <w:rPr>
                <w:rFonts w:ascii="Calibri" w:hAnsi="Calibri" w:eastAsia="Calibri" w:cs="Calibri"/>
                <w:sz w:val="24"/>
                <w:szCs w:val="24"/>
              </w:rPr>
            </w:pPr>
            <w:r>
              <w:rPr>
                <w:rFonts w:eastAsia="Calibri" w:cs="Calibri" w:ascii="Calibri" w:hAnsi="Calibri"/>
                <w:sz w:val="24"/>
                <w:szCs w:val="24"/>
              </w:rPr>
              <w:t>R$ 6.000,00</w:t>
            </w:r>
          </w:p>
        </w:tc>
        <w:tc>
          <w:tcPr>
            <w:tcW w:w="2790"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9"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right="730" w:hanging="0"/>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R$ 36.000,00</w:t>
            </w:r>
          </w:p>
        </w:tc>
      </w:tr>
      <w:tr>
        <w:trPr>
          <w:trHeight w:val="958" w:hRule="atLeast"/>
        </w:trPr>
        <w:tc>
          <w:tcPr>
            <w:tcW w:w="3525"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121" w:after="0"/>
              <w:ind w:left="120" w:hanging="0"/>
              <w:rPr>
                <w:rFonts w:ascii="Calibri" w:hAnsi="Calibri" w:eastAsia="Calibri" w:cs="Calibri"/>
                <w:b/>
                <w:b/>
                <w:sz w:val="24"/>
                <w:szCs w:val="24"/>
              </w:rPr>
            </w:pPr>
            <w:r>
              <w:rPr>
                <w:rFonts w:eastAsia="Calibri" w:cs="Calibri" w:ascii="Calibri" w:hAnsi="Calibri"/>
                <w:b/>
                <w:sz w:val="24"/>
                <w:szCs w:val="24"/>
              </w:rPr>
              <w:t>TOTAL DE VAGAS</w:t>
            </w:r>
          </w:p>
        </w:tc>
        <w:tc>
          <w:tcPr>
            <w:tcW w:w="1785" w:type="dxa"/>
            <w:tcBorders>
              <w:top w:val="single" w:sz="12" w:space="0" w:color="000000"/>
              <w:left w:val="single" w:sz="12" w:space="0" w:color="000000"/>
              <w:bottom w:val="single" w:sz="12" w:space="0" w:color="000000"/>
              <w:right w:val="single" w:sz="12" w:space="0" w:color="000000"/>
            </w:tcBorders>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sz w:val="24"/>
                <w:szCs w:val="24"/>
              </w:rPr>
            </w:pPr>
            <w:r>
              <w:rPr>
                <w:rFonts w:eastAsia="Calibri" w:cs="Calibri" w:ascii="Calibri" w:hAnsi="Calibri"/>
                <w:sz w:val="24"/>
                <w:szCs w:val="24"/>
              </w:rPr>
            </w:r>
          </w:p>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sz w:val="24"/>
                <w:szCs w:val="24"/>
              </w:rPr>
            </w:pPr>
            <w:r>
              <w:rPr>
                <w:rFonts w:eastAsia="Calibri" w:cs="Calibri" w:ascii="Calibri" w:hAnsi="Calibri"/>
                <w:sz w:val="24"/>
                <w:szCs w:val="24"/>
              </w:rPr>
              <w:t>20</w:t>
            </w:r>
          </w:p>
        </w:tc>
        <w:tc>
          <w:tcPr>
            <w:tcW w:w="5384" w:type="dxa"/>
            <w:gridSpan w:val="2"/>
            <w:tcBorders>
              <w:top w:val="single" w:sz="12" w:space="0" w:color="000000"/>
              <w:left w:val="single" w:sz="12" w:space="0" w:color="000000"/>
              <w:bottom w:val="single" w:sz="12" w:space="0" w:color="000000"/>
              <w:right w:val="single" w:sz="12" w:space="0" w:color="000000"/>
            </w:tcBorders>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sz w:val="24"/>
                <w:szCs w:val="24"/>
              </w:rPr>
            </w:pPr>
            <w:r>
              <w:rPr>
                <w:rFonts w:eastAsia="Calibri" w:cs="Calibri" w:ascii="Calibri" w:hAnsi="Calibri"/>
                <w:b/>
                <w:sz w:val="24"/>
                <w:szCs w:val="24"/>
              </w:rPr>
            </w:r>
          </w:p>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b/>
                <w:sz w:val="24"/>
                <w:szCs w:val="24"/>
              </w:rPr>
            </w:pPr>
            <w:r>
              <w:rPr>
                <w:rFonts w:eastAsia="Calibri" w:cs="Calibri" w:ascii="Calibri" w:hAnsi="Calibri"/>
                <w:b/>
                <w:sz w:val="24"/>
                <w:szCs w:val="24"/>
              </w:rPr>
              <w:t>R$ 150.000,00</w:t>
            </w:r>
          </w:p>
        </w:tc>
      </w:tr>
    </w:tbl>
    <w:p>
      <w:pPr>
        <w:pStyle w:val="Ttulo1"/>
        <w:keepNext w:val="false"/>
        <w:keepLines w:val="false"/>
        <w:widowControl w:val="false"/>
        <w:tabs>
          <w:tab w:val="clear" w:pos="720"/>
          <w:tab w:val="left" w:pos="466" w:leader="none"/>
        </w:tabs>
        <w:spacing w:lineRule="auto" w:line="240" w:before="1" w:after="0"/>
        <w:jc w:val="both"/>
        <w:rPr>
          <w:rFonts w:ascii="Calibri" w:hAnsi="Calibri" w:eastAsia="Calibri" w:cs="Calibri"/>
          <w:sz w:val="24"/>
          <w:szCs w:val="24"/>
        </w:rPr>
      </w:pPr>
      <w:r>
        <w:rPr>
          <w:rFonts w:eastAsia="Calibri" w:cs="Calibri" w:ascii="Calibri" w:hAnsi="Calibri"/>
          <w:sz w:val="24"/>
          <w:szCs w:val="24"/>
        </w:rPr>
      </w:r>
      <w:bookmarkStart w:id="0" w:name="_po0f2i8o6bq7"/>
      <w:bookmarkStart w:id="1" w:name="_po0f2i8o6bq7"/>
      <w:bookmarkEnd w:id="1"/>
    </w:p>
    <w:p>
      <w:pPr>
        <w:pStyle w:val="Ttulo1"/>
        <w:keepNext w:val="false"/>
        <w:keepLines w:val="false"/>
        <w:widowControl w:val="false"/>
        <w:tabs>
          <w:tab w:val="clear" w:pos="720"/>
          <w:tab w:val="left" w:pos="466" w:leader="none"/>
        </w:tabs>
        <w:spacing w:lineRule="auto" w:line="240" w:before="1" w:after="0"/>
        <w:jc w:val="both"/>
        <w:rPr>
          <w:rFonts w:ascii="Calibri" w:hAnsi="Calibri" w:eastAsia="Calibri" w:cs="Calibri"/>
          <w:sz w:val="24"/>
          <w:szCs w:val="24"/>
        </w:rPr>
      </w:pPr>
      <w:bookmarkStart w:id="2" w:name="_bcxpwe8b2ula"/>
      <w:bookmarkEnd w:id="2"/>
      <w:r>
        <w:rPr>
          <w:rFonts w:eastAsia="Calibri" w:cs="Calibri" w:ascii="Calibri" w:hAnsi="Calibri"/>
          <w:sz w:val="24"/>
          <w:szCs w:val="24"/>
        </w:rPr>
        <w:t>3.2.  As categorias do presente edital poderão ser trabalhadas de acordo com as descrições abaixo:</w:t>
      </w:r>
    </w:p>
    <w:p>
      <w:pPr>
        <w:pStyle w:val="Normal1"/>
        <w:widowControl w:val="false"/>
        <w:spacing w:lineRule="auto" w:line="240"/>
        <w:jc w:val="both"/>
        <w:rPr>
          <w:rFonts w:ascii="Calibri" w:hAnsi="Calibri" w:eastAsia="Calibri" w:cs="Calibri"/>
          <w:b/>
          <w:b/>
          <w:sz w:val="24"/>
          <w:szCs w:val="24"/>
        </w:rPr>
      </w:pPr>
      <w:r>
        <w:rPr>
          <w:rFonts w:eastAsia="Calibri" w:cs="Calibri" w:ascii="Calibri" w:hAnsi="Calibri"/>
          <w:b/>
          <w:sz w:val="24"/>
          <w:szCs w:val="24"/>
        </w:rPr>
      </w:r>
    </w:p>
    <w:p>
      <w:pPr>
        <w:pStyle w:val="Normal1"/>
        <w:widowControl w:val="false"/>
        <w:tabs>
          <w:tab w:val="clear" w:pos="720"/>
          <w:tab w:val="left" w:pos="575" w:leader="none"/>
        </w:tabs>
        <w:spacing w:lineRule="auto" w:line="240" w:before="1" w:after="0"/>
        <w:ind w:right="243" w:hanging="0"/>
        <w:jc w:val="both"/>
        <w:rPr>
          <w:rFonts w:ascii="Calibri" w:hAnsi="Calibri" w:eastAsia="Calibri" w:cs="Calibri"/>
          <w:b/>
          <w:b/>
          <w:sz w:val="24"/>
          <w:szCs w:val="24"/>
        </w:rPr>
      </w:pPr>
      <w:r>
        <w:rPr>
          <w:rFonts w:eastAsia="Calibri" w:cs="Calibri" w:ascii="Calibri" w:hAnsi="Calibri"/>
          <w:b/>
          <w:sz w:val="24"/>
          <w:szCs w:val="24"/>
        </w:rPr>
        <w:t>Inciso I do art. 6º da LPG: apoio a produção de obras audiovisuais, de curta-metragem, webséries, videoclipes, vídeo-dança, video-cast e videoartes;</w:t>
      </w:r>
    </w:p>
    <w:p>
      <w:pPr>
        <w:pStyle w:val="Normal1"/>
        <w:widowControl w:val="false"/>
        <w:spacing w:lineRule="auto" w:line="24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1" w:after="0"/>
        <w:rPr>
          <w:rFonts w:ascii="Calibri" w:hAnsi="Calibri" w:eastAsia="Calibri" w:cs="Calibri"/>
          <w:sz w:val="24"/>
          <w:szCs w:val="24"/>
        </w:rPr>
      </w:pPr>
      <w:r>
        <w:rPr>
          <w:rFonts w:eastAsia="Calibri" w:cs="Calibri" w:ascii="Calibri" w:hAnsi="Calibri"/>
          <w:sz w:val="24"/>
          <w:szCs w:val="24"/>
          <w:u w:val="single"/>
        </w:rPr>
        <w:t>Produção de curtas-metragens:</w:t>
      </w:r>
    </w:p>
    <w:p>
      <w:pPr>
        <w:pStyle w:val="Normal1"/>
        <w:widowControl w:val="false"/>
        <w:spacing w:lineRule="auto" w:line="240" w:before="11"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right="243" w:hanging="0"/>
        <w:jc w:val="both"/>
        <w:rPr>
          <w:rFonts w:ascii="Calibri" w:hAnsi="Calibri" w:eastAsia="Calibri" w:cs="Calibri"/>
          <w:sz w:val="24"/>
          <w:szCs w:val="24"/>
        </w:rPr>
      </w:pPr>
      <w:r>
        <w:rPr>
          <w:rFonts w:eastAsia="Calibri" w:cs="Calibri" w:ascii="Calibri" w:hAnsi="Calibri"/>
          <w:sz w:val="24"/>
          <w:szCs w:val="24"/>
        </w:rPr>
        <w:t xml:space="preserve">Para este edital, refere-se ao apoio concedido à produção de </w:t>
      </w:r>
      <w:r>
        <w:rPr>
          <w:rFonts w:eastAsia="Calibri" w:cs="Calibri" w:ascii="Calibri" w:hAnsi="Calibri"/>
          <w:b/>
          <w:sz w:val="24"/>
          <w:szCs w:val="24"/>
        </w:rPr>
        <w:t xml:space="preserve">curta-metragem </w:t>
      </w:r>
      <w:r>
        <w:rPr>
          <w:rFonts w:eastAsia="Calibri" w:cs="Calibri" w:ascii="Calibri" w:hAnsi="Calibri"/>
          <w:sz w:val="24"/>
          <w:szCs w:val="24"/>
        </w:rPr>
        <w:t xml:space="preserve">com duração de até </w:t>
      </w:r>
      <w:r>
        <w:rPr>
          <w:rFonts w:eastAsia="Calibri" w:cs="Calibri" w:ascii="Calibri" w:hAnsi="Calibri"/>
          <w:b/>
          <w:sz w:val="24"/>
          <w:szCs w:val="24"/>
        </w:rPr>
        <w:t>15 minutos</w:t>
      </w:r>
      <w:r>
        <w:rPr>
          <w:rFonts w:eastAsia="Calibri" w:cs="Calibri" w:ascii="Calibri" w:hAnsi="Calibri"/>
          <w:sz w:val="24"/>
          <w:szCs w:val="24"/>
        </w:rPr>
        <w:t xml:space="preserve">, de </w:t>
      </w:r>
      <w:r>
        <w:rPr>
          <w:rFonts w:eastAsia="Calibri" w:cs="Calibri" w:ascii="Calibri" w:hAnsi="Calibri"/>
          <w:b/>
          <w:sz w:val="24"/>
          <w:szCs w:val="24"/>
        </w:rPr>
        <w:t>ficção, documentário, animação e etc</w:t>
      </w:r>
      <w:r>
        <w:rPr>
          <w:rFonts w:eastAsia="Calibri" w:cs="Calibri" w:ascii="Calibri" w:hAnsi="Calibri"/>
          <w:sz w:val="24"/>
          <w:szCs w:val="24"/>
        </w:rPr>
        <w:t>, e o tempo mínimo de 07 minutos.</w:t>
      </w:r>
    </w:p>
    <w:p>
      <w:pPr>
        <w:pStyle w:val="Normal1"/>
        <w:widowControl w:val="false"/>
        <w:spacing w:lineRule="auto" w:line="240"/>
        <w:ind w:right="243" w:hanging="0"/>
        <w:jc w:val="both"/>
        <w:rPr>
          <w:rFonts w:ascii="Calibri" w:hAnsi="Calibri" w:eastAsia="Calibri" w:cs="Calibri"/>
          <w:sz w:val="24"/>
          <w:szCs w:val="24"/>
        </w:rPr>
      </w:pPr>
      <w:r>
        <w:rPr>
          <w:rFonts w:eastAsia="Calibri" w:cs="Calibri" w:ascii="Calibri" w:hAnsi="Calibri"/>
          <w:sz w:val="24"/>
          <w:szCs w:val="24"/>
        </w:rPr>
      </w:r>
    </w:p>
    <w:p>
      <w:pPr>
        <w:pStyle w:val="Normal1"/>
        <w:widowControl w:val="false"/>
        <w:spacing w:lineRule="auto" w:line="240"/>
        <w:ind w:right="234" w:hanging="0"/>
        <w:jc w:val="both"/>
        <w:rPr>
          <w:rFonts w:ascii="Calibri" w:hAnsi="Calibri" w:eastAsia="Calibri" w:cs="Calibri"/>
          <w:sz w:val="24"/>
          <w:szCs w:val="24"/>
        </w:rPr>
      </w:pPr>
      <w:r>
        <w:rPr>
          <w:rFonts w:eastAsia="Calibri" w:cs="Calibri" w:ascii="Calibri" w:hAnsi="Calibri"/>
          <w:sz w:val="24"/>
          <w:szCs w:val="24"/>
        </w:rPr>
        <w:t>Os recursos fornecidos podem ser direcionados para financiar todo o processo de produção, desde o desenvolvimento do projeto até a distribuição do filme.</w:t>
      </w:r>
    </w:p>
    <w:p>
      <w:pPr>
        <w:pStyle w:val="Normal1"/>
        <w:widowControl w:val="false"/>
        <w:spacing w:lineRule="auto" w:line="240"/>
        <w:rPr>
          <w:rFonts w:ascii="Calibri" w:hAnsi="Calibri" w:eastAsia="Calibri" w:cs="Calibri"/>
          <w:sz w:val="24"/>
          <w:szCs w:val="24"/>
        </w:rPr>
      </w:pPr>
      <w:r>
        <w:rPr>
          <w:rFonts w:eastAsia="Calibri" w:cs="Calibri" w:ascii="Calibri" w:hAnsi="Calibri"/>
          <w:sz w:val="24"/>
          <w:szCs w:val="24"/>
        </w:rPr>
      </w:r>
    </w:p>
    <w:p>
      <w:pPr>
        <w:pStyle w:val="Normal1"/>
        <w:widowControl w:val="false"/>
        <w:spacing w:lineRule="auto" w:line="240"/>
        <w:rPr>
          <w:rFonts w:ascii="Calibri" w:hAnsi="Calibri" w:eastAsia="Calibri" w:cs="Calibri"/>
          <w:sz w:val="24"/>
          <w:szCs w:val="24"/>
        </w:rPr>
      </w:pPr>
      <w:r>
        <w:rPr>
          <w:rFonts w:eastAsia="Calibri" w:cs="Calibri" w:ascii="Calibri" w:hAnsi="Calibri"/>
          <w:sz w:val="24"/>
          <w:szCs w:val="24"/>
          <w:u w:val="single"/>
        </w:rPr>
        <w:t>Produção de Webséries:</w:t>
      </w:r>
    </w:p>
    <w:p>
      <w:pPr>
        <w:pStyle w:val="Normal1"/>
        <w:widowControl w:val="false"/>
        <w:spacing w:lineRule="auto" w:line="240" w:before="5"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right="237" w:hanging="0"/>
        <w:jc w:val="both"/>
        <w:rPr>
          <w:rFonts w:ascii="Calibri" w:hAnsi="Calibri" w:eastAsia="Calibri" w:cs="Calibri"/>
          <w:sz w:val="24"/>
          <w:szCs w:val="24"/>
        </w:rPr>
      </w:pPr>
      <w:r>
        <w:rPr>
          <w:rFonts w:eastAsia="Calibri" w:cs="Calibri" w:ascii="Calibri" w:hAnsi="Calibri"/>
          <w:sz w:val="24"/>
          <w:szCs w:val="24"/>
        </w:rPr>
        <w:t xml:space="preserve">Para este edital, refere-se ao apoio concedido à produção de </w:t>
      </w:r>
      <w:r>
        <w:rPr>
          <w:rFonts w:eastAsia="Calibri" w:cs="Calibri" w:ascii="Calibri" w:hAnsi="Calibri"/>
          <w:b/>
          <w:sz w:val="24"/>
          <w:szCs w:val="24"/>
        </w:rPr>
        <w:t xml:space="preserve">webséries, </w:t>
      </w:r>
      <w:r>
        <w:rPr>
          <w:rFonts w:eastAsia="Calibri" w:cs="Calibri" w:ascii="Calibri" w:hAnsi="Calibri"/>
          <w:sz w:val="24"/>
          <w:szCs w:val="24"/>
        </w:rPr>
        <w:t>entendendo como uma peça virtual, dinâmica e digital, criada em capítulos, como série de streaming e TV, mas cuja transmissão é feita exclusivamente na internet.</w:t>
      </w:r>
    </w:p>
    <w:p>
      <w:pPr>
        <w:pStyle w:val="Normal1"/>
        <w:widowControl w:val="false"/>
        <w:spacing w:lineRule="auto" w:line="240"/>
        <w:rPr>
          <w:rFonts w:ascii="Calibri" w:hAnsi="Calibri" w:eastAsia="Calibri" w:cs="Calibri"/>
          <w:sz w:val="24"/>
          <w:szCs w:val="24"/>
        </w:rPr>
      </w:pPr>
      <w:r>
        <w:rPr>
          <w:rFonts w:eastAsia="Calibri" w:cs="Calibri" w:ascii="Calibri" w:hAnsi="Calibri"/>
          <w:sz w:val="24"/>
          <w:szCs w:val="24"/>
        </w:rPr>
      </w:r>
    </w:p>
    <w:p>
      <w:pPr>
        <w:pStyle w:val="Normal1"/>
        <w:widowControl w:val="false"/>
        <w:spacing w:lineRule="auto" w:line="240"/>
        <w:rPr>
          <w:rFonts w:ascii="Calibri" w:hAnsi="Calibri" w:eastAsia="Calibri" w:cs="Calibri"/>
          <w:sz w:val="24"/>
          <w:szCs w:val="24"/>
        </w:rPr>
      </w:pPr>
      <w:r>
        <w:rPr>
          <w:rFonts w:eastAsia="Calibri" w:cs="Calibri" w:ascii="Calibri" w:hAnsi="Calibri"/>
          <w:sz w:val="24"/>
          <w:szCs w:val="24"/>
          <w:u w:val="single"/>
        </w:rPr>
        <w:t>Produção de Videoclipes:</w:t>
      </w:r>
    </w:p>
    <w:p>
      <w:pPr>
        <w:pStyle w:val="Normal1"/>
        <w:widowControl w:val="false"/>
        <w:spacing w:lineRule="auto" w:line="24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right="243" w:hanging="0"/>
        <w:jc w:val="both"/>
        <w:rPr>
          <w:rFonts w:ascii="Calibri" w:hAnsi="Calibri" w:eastAsia="Calibri" w:cs="Calibri"/>
          <w:sz w:val="24"/>
          <w:szCs w:val="24"/>
        </w:rPr>
      </w:pPr>
      <w:r>
        <w:rPr>
          <w:rFonts w:eastAsia="Calibri" w:cs="Calibri" w:ascii="Calibri" w:hAnsi="Calibri"/>
          <w:sz w:val="24"/>
          <w:szCs w:val="24"/>
        </w:rPr>
        <w:t xml:space="preserve">Para     este      edital,      refere-se      ao      apoio      concedido      à      produção de </w:t>
      </w:r>
      <w:r>
        <w:rPr>
          <w:rFonts w:eastAsia="Calibri" w:cs="Calibri" w:ascii="Calibri" w:hAnsi="Calibri"/>
          <w:b/>
          <w:sz w:val="24"/>
          <w:szCs w:val="24"/>
        </w:rPr>
        <w:t xml:space="preserve">videoclipes </w:t>
      </w:r>
      <w:r>
        <w:rPr>
          <w:rFonts w:eastAsia="Calibri" w:cs="Calibri" w:ascii="Calibri" w:hAnsi="Calibri"/>
          <w:sz w:val="24"/>
          <w:szCs w:val="24"/>
        </w:rPr>
        <w:t xml:space="preserve">de </w:t>
      </w:r>
      <w:r>
        <w:rPr>
          <w:rFonts w:eastAsia="Calibri" w:cs="Calibri" w:ascii="Calibri" w:hAnsi="Calibri"/>
          <w:b/>
          <w:sz w:val="24"/>
          <w:szCs w:val="24"/>
        </w:rPr>
        <w:t xml:space="preserve">artistas locais </w:t>
      </w:r>
      <w:r>
        <w:rPr>
          <w:rFonts w:eastAsia="Calibri" w:cs="Calibri" w:ascii="Calibri" w:hAnsi="Calibri"/>
          <w:sz w:val="24"/>
          <w:szCs w:val="24"/>
        </w:rPr>
        <w:t xml:space="preserve">com duração de </w:t>
      </w:r>
      <w:r>
        <w:rPr>
          <w:rFonts w:eastAsia="Calibri" w:cs="Calibri" w:ascii="Calibri" w:hAnsi="Calibri"/>
          <w:b/>
          <w:sz w:val="24"/>
          <w:szCs w:val="24"/>
        </w:rPr>
        <w:t>3 a 6 minutos</w:t>
      </w:r>
      <w:r>
        <w:rPr>
          <w:rFonts w:eastAsia="Calibri" w:cs="Calibri" w:ascii="Calibri" w:hAnsi="Calibri"/>
          <w:sz w:val="24"/>
          <w:szCs w:val="24"/>
        </w:rPr>
        <w:t>.</w:t>
      </w:r>
    </w:p>
    <w:p>
      <w:pPr>
        <w:pStyle w:val="Normal1"/>
        <w:widowControl w:val="false"/>
        <w:spacing w:lineRule="auto" w:line="240"/>
        <w:ind w:right="243" w:hanging="0"/>
        <w:jc w:val="both"/>
        <w:rPr>
          <w:rFonts w:ascii="Calibri" w:hAnsi="Calibri" w:eastAsia="Calibri" w:cs="Calibri"/>
          <w:sz w:val="24"/>
          <w:szCs w:val="24"/>
        </w:rPr>
      </w:pPr>
      <w:r>
        <w:rPr>
          <w:rFonts w:eastAsia="Calibri" w:cs="Calibri" w:ascii="Calibri" w:hAnsi="Calibri"/>
          <w:sz w:val="24"/>
          <w:szCs w:val="24"/>
        </w:rPr>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4"/>
          <w:szCs w:val="24"/>
          <w:u w:val="single"/>
        </w:rPr>
      </w:pPr>
      <w:r>
        <w:rPr>
          <w:rFonts w:eastAsia="Calibri" w:cs="Calibri" w:ascii="Calibri" w:hAnsi="Calibri"/>
          <w:sz w:val="24"/>
          <w:szCs w:val="24"/>
          <w:u w:val="single"/>
        </w:rPr>
        <w:t>Produção de Videocast, Videoarte e Videodança:</w:t>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4"/>
          <w:szCs w:val="24"/>
          <w:u w:val="single"/>
        </w:rPr>
      </w:pPr>
      <w:r>
        <w:rPr>
          <w:rFonts w:eastAsia="Calibri" w:cs="Calibri" w:ascii="Calibri" w:hAnsi="Calibri"/>
          <w:sz w:val="24"/>
          <w:szCs w:val="24"/>
          <w:u w:val="single"/>
        </w:rPr>
      </w:r>
    </w:p>
    <w:p>
      <w:pPr>
        <w:pStyle w:val="Normal1"/>
        <w:widowControl w:val="false"/>
        <w:spacing w:lineRule="auto" w:line="240"/>
        <w:ind w:right="243" w:hanging="0"/>
        <w:jc w:val="both"/>
        <w:rPr>
          <w:rFonts w:ascii="Calibri" w:hAnsi="Calibri" w:eastAsia="Calibri" w:cs="Calibri"/>
          <w:sz w:val="24"/>
          <w:szCs w:val="24"/>
        </w:rPr>
      </w:pPr>
      <w:r>
        <w:rPr>
          <w:rFonts w:eastAsia="Calibri" w:cs="Calibri" w:ascii="Calibri" w:hAnsi="Calibri"/>
          <w:sz w:val="24"/>
          <w:szCs w:val="24"/>
        </w:rPr>
        <w:t>Para este edital,refere-se ao apoio concedido à produção de videocast, videoarte e videodança de artistas locais com duração de 3 a 6 minutos.</w:t>
      </w:r>
    </w:p>
    <w:p>
      <w:pPr>
        <w:pStyle w:val="Normal1"/>
        <w:widowControl w:val="false"/>
        <w:spacing w:lineRule="auto" w:line="240"/>
        <w:ind w:right="243" w:hanging="0"/>
        <w:jc w:val="both"/>
        <w:rPr>
          <w:rFonts w:ascii="Calibri" w:hAnsi="Calibri" w:eastAsia="Calibri" w:cs="Calibri"/>
          <w:sz w:val="24"/>
          <w:szCs w:val="24"/>
        </w:rPr>
      </w:pPr>
      <w:r>
        <w:rPr>
          <w:rFonts w:eastAsia="Calibri" w:cs="Calibri" w:ascii="Calibri" w:hAnsi="Calibri"/>
          <w:sz w:val="24"/>
          <w:szCs w:val="24"/>
        </w:rPr>
      </w:r>
    </w:p>
    <w:p>
      <w:pPr>
        <w:pStyle w:val="Normal1"/>
        <w:widowControl w:val="false"/>
        <w:spacing w:lineRule="auto" w:line="240"/>
        <w:ind w:right="243" w:hanging="0"/>
        <w:jc w:val="both"/>
        <w:rPr>
          <w:rFonts w:ascii="Calibri" w:hAnsi="Calibri" w:eastAsia="Calibri" w:cs="Calibri"/>
          <w:sz w:val="24"/>
          <w:szCs w:val="24"/>
        </w:rPr>
      </w:pPr>
      <w:r>
        <w:rPr>
          <w:rFonts w:eastAsia="Calibri" w:cs="Calibri" w:ascii="Calibri" w:hAnsi="Calibri"/>
          <w:sz w:val="24"/>
          <w:szCs w:val="24"/>
        </w:rPr>
        <w:t>O fomento à produção de videocast, videoarte e videodança envolve o suporte para a criação e produção de vídeos artísticos das mais variadas linguagens, geralmente para fins de divulgação de artistas e sua linguagem. Isso pode incluir recursos financeiros para a contratação de diretores, equipes de produção, locações, equipamentos, pós-produção e distribuição. O objetivo é impulsionar a produção de videoclipes criativos e de qualidade, estimulando a colaboração entre as várias linguagens artísticas e o audiovisual.</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t>4. RECURSOS ORÇAMENTÁRIOS</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4.1. A Dotação Orçamentária é uma informação importante para o Município organizar suas despesas. No presente caso, as despesas decorrentes do presente Edital serão custeadas por meio de recursos provenientes da Lei Complementar nº 195, de 08 de julho de 2022, administrados pela Secretaria de Juventude, Desporto, Cultura, Turismo e Lazer de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Massapê/Ce, de acordo com a dotação orçamentária: 0801.13.392.2.036.3.3.90.39.00.1715000000 para pessoa jurídica e a dotação 0801.13.392.2.036.3.3.90.36.00.1715000000 para pessoa física.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4.2. Este Edital poderá ser suplementado (ou seja, seu valor total poderá ser aumentado), caso haja interesse público e disponibilidade orçamentária suficiente. </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5. QUEM PODE SE INSCREVER</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5.1. Pode se inscrever no Edital qualquer agente cultural residente ou sediado no Município de Massapê/Ce, há pelo menos 02 (dois) anos.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5.2. O agente cultural pode ser:</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I - Pessoa física;</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II - Microempreendedor Individual (MEI); </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III - Coletivo/Grupo sem CNPJ representado por pessoa física.</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IV - Pessoa jurídica sem fins lucrativos (Ex.: Associação, Fundação, Cooperativa, etc)</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V - Pessoa jurídica com fins lucrativos (Ex.: empresa de pequeno porte, empresa de grande porte, etc)</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5.2.1. O agente cultural, se pessoa física, MEI ou pessoa física representante de coletivo, deve ter idade igual ou superior a 18 (dezoito) anos (completos até a data de encerramento das inscrições);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5.2.2. Nos casos de inscrições apresentadas por Pessoa Jurídica, a proposta deverá indicar a Pessoa Física responsável, sendo seu administrador, titular ou presidente da empresa ou instituição, maior de 18 (dezoito) anos, residente e domiciliada no município de Massapê há pelo menos 02 (dois) anos e com atuação no campo artístico-cultural.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5.3. O proponente é o agente cultural responsável pela inscrição do projeto.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5.4. 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II deste Edital.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5.5. O proponente não pode exercer apenas funções administrativas no âmbito do projeto e deve exercer necessariamente a função de criação, direção, produção, coordenação, gestão artística ou outra função de destaque e capacidade de decisão no projeto. </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t>6. QUEM NÃO PODE SE INSCREVER</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6.1. Não poderão se inscrever neste Edital pessoas que:</w:t>
      </w:r>
    </w:p>
    <w:p>
      <w:pPr>
        <w:pStyle w:val="Normal1"/>
        <w:spacing w:lineRule="auto" w:line="240" w:before="120" w:after="120"/>
        <w:ind w:left="0" w:right="120" w:hanging="0"/>
        <w:jc w:val="both"/>
        <w:rPr>
          <w:rFonts w:ascii="Calibri" w:hAnsi="Calibri" w:eastAsia="Calibri" w:cs="Calibri"/>
          <w:color w:val="FF0000"/>
          <w:sz w:val="24"/>
          <w:szCs w:val="24"/>
        </w:rPr>
      </w:pPr>
      <w:r>
        <w:rPr>
          <w:rFonts w:eastAsia="Calibri" w:cs="Calibri" w:ascii="Calibri" w:hAnsi="Calibri"/>
          <w:sz w:val="24"/>
          <w:szCs w:val="24"/>
        </w:rPr>
        <w:t>I - Sejam servidoras públicas concursadas, comissionadas ou terceirizadas vinculadas à Secretaria de Juventude, Desporto, Cultura, Turismo e Lazer de Massapê/Ce;</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II - Sejam cônjuges, companheiros ou parentes em linha reta, colateral ou por afinidade, até o terceiro grau, de servidor público concursado, comissionado ou terceirizado vinculado à Secretaria de Juventude, Desporto, Cultura, Turismo e Lazer de Massapê/Ce, nos casos em que o referido servidor público concursado, comissionado ou terceirizado tiver atuado na etapa de elaboração do edital, na etapa de análise de propostas ou na etapa de julgamento de recursos;</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III - Sejam parte da Comissão de Avaliação e Seleção deste Edital;</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IV - Sejam cônjuges, companheiros ou parentes em linha reta, colateral ou por afinidade, até o terceiro grau, de membro das </w:t>
      </w:r>
      <w:r>
        <w:rPr>
          <w:rFonts w:eastAsia="Calibri" w:cs="Calibri" w:ascii="Calibri" w:hAnsi="Calibri"/>
          <w:color w:val="252525"/>
          <w:sz w:val="24"/>
          <w:szCs w:val="24"/>
        </w:rPr>
        <w:t>das Comissões Municipais de Acompanhamento da Execução da Lei Paulo Gustavo e/ou da</w:t>
      </w:r>
      <w:r>
        <w:rPr>
          <w:rFonts w:eastAsia="Calibri" w:cs="Calibri" w:ascii="Calibri" w:hAnsi="Calibri"/>
          <w:sz w:val="24"/>
          <w:szCs w:val="24"/>
        </w:rPr>
        <w:t xml:space="preserve"> Comissão de Avaliação e Seleção deste Edital; </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V – Tenham se envolvido diretamente na etapa de elaboração do edital, na etapa de análise de propostas ou na etapa de julgamento de recursos;</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VI - Sejam membros do Poder Legislativo (Deputados, Senadores, Vereadores), do Poder Judiciário (Juízes, Desembargadores, Ministros), do Ministério Público (Promotor, Procurador)ou do Tribunal de Contas (Auditores e Conselheiros).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6.2. O agente cultural que integrar Conselhos de Cultura poderá concorrer neste Edital para receber recursos do fomento cultural, exceto quando se enquadrar nas vedações previstas no item 6.1.</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6.3. Quando se tratar de proponentes pessoas jurídicas, estarão impedidas de apresentar projetos aquelas cujos sócios, diretores e/ou administradores se enquadrarem nas situações descritas no tópico 6.1.</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6.4. A participação de agentes culturais nas oitivas e consultas públicas não caracteriza o envolvimento direto na etapa de elaboração do edital de que trata o subitem V do item 6.1.</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7. COTAS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7.1. Ficam garantidas cotas étnicas-raciais em todas as categorias do edital, nas seguintes proporções:</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a) No mínimo 20% das vagas para pessoas negras (pretas e pardas); e</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b) No mínimo 10% das vagas para pessoas indígenas.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7.2.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selecionados de acordo com a sua nota ou classificação no processo seleção.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colocado optante pela cota.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7.4. Em caso de desistência de optantes aprovados nas cotas, a vaga não preenchida deverá ser ocupada por pessoa que concorreu às cotas de acordo com a ordem de classificação.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7.5. No caso de não existirem propostas aptas em número suficiente para o cumprimento de uma das categorias de cotas previstas na seleção, o número de vagas restantes deverá ser destinado inicialmente para a outra categoria de cotas.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7.6. Caso não haja outra categoria de cotas de que trata o item 7.5, as vagas não preenchidas deverão ser direcionadas para a ampla concorrência, sendo direcionadas para os demais candidatos aprovados, de acordo com a ordem de classificação.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7.7. Para concorrer às cotas, os agentes culturais deverão autodeclarar-se no ato da inscrição usando a declaração étnico-racial de que trata o Anexo III deste Edital.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7.8. Para fins de verificação da autodeclaração, poderão ser realizados ainda os seguintes procedimentos complementares:</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I - Procedimento de heteroidentificação;</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II - Solicitação de carta consubstanciada;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7.9. As pessoas jurídicas e coletivos sem constituição jurídica podem concorrer às cotas, desde que preencham algum dos requisitos abaixo: </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I – Pessoas jurídicas ou grupos e coletivos sem constituição jurídica que possuam pessoas negras (pretas e pardas) ou indígenas em posições de liderança no projeto cultural;</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 xml:space="preserve">II – Pessoas jurídicas ou coletivos sem constituição jurídica que possuam equipe do projeto cultural majoritariamente composta por pessoas negras (pretas e pardas) ou indígenas;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7.10. As pessoas físicas que compõem a equipe da pessoa jurídica e o grupo ou coletivo sem constituição jurídica devem se submeter aos regramentos descritos nos itens acima.</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8. COMO SE INSCREVER</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sz w:val="24"/>
          <w:szCs w:val="24"/>
        </w:rPr>
        <w:t xml:space="preserve">8.1. As inscrições são gratuitas e ocorrerão em formato virtual pela Plataforma Mapa Cultural do Ceará (através do seguinte link: </w:t>
      </w:r>
      <w:hyperlink r:id="rId2">
        <w:r>
          <w:rPr>
            <w:rFonts w:eastAsia="Calibri" w:cs="Calibri" w:ascii="Calibri" w:hAnsi="Calibri"/>
            <w:color w:val="1155CC"/>
            <w:sz w:val="24"/>
            <w:szCs w:val="24"/>
            <w:u w:val="single"/>
          </w:rPr>
          <w:t>https://mapacultural.secult.ce.gov.br/oportunidade/4477/</w:t>
        </w:r>
      </w:hyperlink>
      <w:r>
        <w:rPr>
          <w:rFonts w:eastAsia="Calibri" w:cs="Calibri" w:ascii="Calibri" w:hAnsi="Calibri"/>
          <w:sz w:val="24"/>
          <w:szCs w:val="24"/>
        </w:rPr>
        <w:t xml:space="preserve">), </w:t>
      </w:r>
      <w:r>
        <w:rPr>
          <w:rFonts w:eastAsia="Calibri" w:cs="Calibri" w:ascii="Calibri" w:hAnsi="Calibri"/>
          <w:b/>
          <w:sz w:val="24"/>
          <w:szCs w:val="24"/>
        </w:rPr>
        <w:t>no período de 13 de setembro a 13 de outubro de 2023, até às 23h59min.</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8.2. Como forma de ampliar o acesso ao edital e auxiliar os(as) agentes culturais interessados, as inscrições poderão ser realizadas de forma mediada. Nesse caso, o(a) agente cultural deverá comparecer presencialmente à Secretaria de Juventude, Desporto, Cultura, Turismo e apresentar as informações e documentos da sua inscrição, que será realizada de forma mediada por funcionário da Secretaria na Plataforma Mapa Cultural do Ceará.</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8.2.1. A inscrição mediada ocorrerá no endereço Rua Amadeu Albuquerque, n° 01, podendo ocorrer de segunda a sexta, das 8h às 13h, até a data limite para inscrições prevista no item 8.1</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8.2.2. A inscrição mediada poderá ser gravada, desde que previamente informada e autorizada pelo(a) agente 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8.3. Para realização da inscrição, os(as) agentes culturais devem estar cadastrados junto ao Mapa Cultural do Ceará e realizar o preenchimento do formulário de inscrição de forma completa.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8.3.1. Os proponentes que já têm cadastro no Mapa Cultural do Ceará e nos Mapas Municipais não precisam fazer novo cadastro, devendo atualizar informações que julgarem necessárias até a data de envio de sua inscrição.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8.4. Para cadastro no Mapa Cultural do Ceará, as seguintes informações e documentos obrigatórios deverão ser preenchidos e/ou anexados na página de inscrição:</w:t>
      </w:r>
    </w:p>
    <w:p>
      <w:pPr>
        <w:pStyle w:val="Normal1"/>
        <w:spacing w:lineRule="auto" w:line="240" w:before="120" w:after="120"/>
        <w:ind w:right="120" w:hanging="0"/>
        <w:jc w:val="both"/>
        <w:rPr>
          <w:rFonts w:ascii="Calibri" w:hAnsi="Calibri" w:eastAsia="Calibri" w:cs="Calibri"/>
          <w:sz w:val="24"/>
          <w:szCs w:val="24"/>
          <w:u w:val="single"/>
        </w:rPr>
      </w:pPr>
      <w:r>
        <w:rPr>
          <w:rFonts w:eastAsia="Calibri" w:cs="Calibri" w:ascii="Calibri" w:hAnsi="Calibri"/>
          <w:sz w:val="24"/>
          <w:szCs w:val="24"/>
        </w:rPr>
        <w:t xml:space="preserve">8.4.1. </w:t>
      </w:r>
      <w:r>
        <w:rPr>
          <w:rFonts w:eastAsia="Calibri" w:cs="Calibri" w:ascii="Calibri" w:hAnsi="Calibri"/>
          <w:sz w:val="24"/>
          <w:szCs w:val="24"/>
          <w:u w:val="single"/>
        </w:rPr>
        <w:t>PESSOA FÍSICA (INDIVIDUAL OU REPRESENTANTE DE COLETIVO) OU MEI</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Nome completo;</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Nome artístico, quando houver;</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Nome social, quando houver;</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Registro Geral (RG - Cédula de Identidade);</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Data de expedição do RG;</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Órgão expedidor do RG;</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UF do RG;</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Cadastro de Pessoa Física (CPF);</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Endereço residencial completo, com CEP;</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Telefone fixo e/ou celular (caso tenha mais de um contato, acrescentar);</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E-mails;</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Data de nascimento;</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Nacionalidade/naturalidade;</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Gênero;</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Estado civil;</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Escolaridade;</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cópia da cédula de identidade (RG);</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cópia do CPF ou Comprovante de Situação Cadastral no CPF;</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 xml:space="preserve">comprovante de endereço residencial emitido até 03 (três) meses, contando a partir da data de início das inscrições, ou declaração de residência assinada, conforme ANEXO IV; </w:t>
      </w:r>
    </w:p>
    <w:p>
      <w:pPr>
        <w:pStyle w:val="Normal1"/>
        <w:spacing w:lineRule="auto" w:line="240"/>
        <w:ind w:left="1440" w:hanging="0"/>
        <w:jc w:val="both"/>
        <w:rPr>
          <w:rFonts w:ascii="Calibri" w:hAnsi="Calibri" w:eastAsia="Calibri" w:cs="Calibri"/>
          <w:sz w:val="24"/>
          <w:szCs w:val="24"/>
        </w:rPr>
      </w:pPr>
      <w:r>
        <w:rPr>
          <w:rFonts w:eastAsia="Calibri" w:cs="Calibri" w:ascii="Calibri" w:hAnsi="Calibri"/>
          <w:sz w:val="24"/>
          <w:szCs w:val="24"/>
        </w:rPr>
        <w:t>OBSERVAÇÃO: A comprovação de residência poderá ser dispensada nas hipóteses de agentes culturais pertencentes à comunidade indígena, quilombola, cigana ou circense; pertencentes à população nômade ou itinerante; ou que se encontrem em situação de rua.</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apresentação do currículo, preferencialmente como anexo em formato PDF, contendo histórico, descrevendo as experiências realizadas no âmbito artístico, cultural e audiovisual;</w:t>
      </w:r>
    </w:p>
    <w:p>
      <w:pPr>
        <w:pStyle w:val="Normal1"/>
        <w:widowControl w:val="false"/>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apresentação de portfólio com links ou anexos necessários para comprovação de histórico de atividades de cunho artístico e/ou cultural, compatível com a área cultural;</w:t>
      </w:r>
    </w:p>
    <w:p>
      <w:pPr>
        <w:pStyle w:val="Normal1"/>
        <w:widowControl w:val="false"/>
        <w:spacing w:lineRule="auto" w:line="240"/>
        <w:ind w:left="1440" w:hanging="0"/>
        <w:jc w:val="both"/>
        <w:rPr>
          <w:rFonts w:ascii="Calibri" w:hAnsi="Calibri" w:eastAsia="Calibri" w:cs="Calibri"/>
          <w:sz w:val="24"/>
          <w:szCs w:val="24"/>
        </w:rPr>
      </w:pPr>
      <w:r>
        <w:rPr>
          <w:rFonts w:eastAsia="Calibri" w:cs="Calibri" w:ascii="Calibri" w:hAnsi="Calibri"/>
          <w:sz w:val="24"/>
          <w:szCs w:val="24"/>
        </w:rPr>
        <w:t>OBSERVAÇÃO: Para organização do portfólio, deverão ser apresentadas pelo menos 03 (três) comprovações de sua atuação no campo cultural, dos últimos dois anos de atuação. Poderão ser utilizados fotos, matérias de jornais e revistas, cartazes, certificados, títulos, folders, links para plataformas de vídeo etc, que comprovem as atividades descritas nos últimos dois anos, podendo ser por meio de uma declaração de órgão público ou privado declarando que o proponente atua no mercado cultural.</w:t>
      </w:r>
    </w:p>
    <w:p>
      <w:pPr>
        <w:pStyle w:val="Normal1"/>
        <w:widowControl w:val="false"/>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Links para site ou blog da pessoa física (opcional);</w:t>
      </w:r>
    </w:p>
    <w:p>
      <w:pPr>
        <w:pStyle w:val="Normal1"/>
        <w:widowControl w:val="false"/>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links de vídeos da pessoa física publicados nos serviços YouTube ou Vimeo (opcional);</w:t>
      </w:r>
    </w:p>
    <w:p>
      <w:pPr>
        <w:pStyle w:val="Normal1"/>
        <w:widowControl w:val="false"/>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anexos ou links para áudios nos formatos MP3 ou OGG (opcional);</w:t>
      </w:r>
    </w:p>
    <w:p>
      <w:pPr>
        <w:pStyle w:val="Normal1"/>
        <w:widowControl w:val="false"/>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número e cartão do CNPJ (somente para MEI);</w:t>
      </w:r>
    </w:p>
    <w:p>
      <w:pPr>
        <w:pStyle w:val="Normal1"/>
        <w:widowControl w:val="false"/>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certificado de Condição de Microempreendedor Individual (CCMEI) - (somente para MEI);</w:t>
      </w:r>
    </w:p>
    <w:p>
      <w:pPr>
        <w:pStyle w:val="Normal1"/>
        <w:widowControl w:val="false"/>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nome do coletivo (somente para pessoa física representante de coletivo);</w:t>
      </w:r>
    </w:p>
    <w:p>
      <w:pPr>
        <w:pStyle w:val="Normal1"/>
        <w:widowControl w:val="false"/>
        <w:numPr>
          <w:ilvl w:val="0"/>
          <w:numId w:val="3"/>
        </w:numPr>
        <w:spacing w:lineRule="auto" w:line="240"/>
        <w:ind w:left="990" w:hanging="285"/>
        <w:jc w:val="both"/>
        <w:rPr>
          <w:rFonts w:ascii="Calibri" w:hAnsi="Calibri" w:eastAsia="Calibri" w:cs="Calibri"/>
          <w:sz w:val="24"/>
          <w:szCs w:val="24"/>
        </w:rPr>
      </w:pPr>
      <w:r>
        <w:rPr>
          <w:rFonts w:eastAsia="Calibri" w:cs="Calibri" w:ascii="Calibri" w:hAnsi="Calibri"/>
          <w:sz w:val="24"/>
          <w:szCs w:val="24"/>
        </w:rPr>
        <w:t>declaração de representação de grupo ou coletivo, conforme Anexo II (somente para pessoa física representante de coletivo);</w:t>
      </w:r>
    </w:p>
    <w:p>
      <w:pPr>
        <w:pStyle w:val="Normal1"/>
        <w:widowControl w:val="false"/>
        <w:spacing w:lineRule="auto" w:line="24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right="120" w:hanging="0"/>
        <w:jc w:val="both"/>
        <w:rPr>
          <w:rFonts w:ascii="Calibri" w:hAnsi="Calibri" w:eastAsia="Calibri" w:cs="Calibri"/>
          <w:sz w:val="24"/>
          <w:szCs w:val="24"/>
          <w:u w:val="single"/>
        </w:rPr>
      </w:pPr>
      <w:r>
        <w:rPr>
          <w:rFonts w:eastAsia="Calibri" w:cs="Calibri" w:ascii="Calibri" w:hAnsi="Calibri"/>
          <w:sz w:val="24"/>
          <w:szCs w:val="24"/>
          <w:u w:val="single"/>
        </w:rPr>
        <w:t>8.4.2. PESSOA JURÍDICA - COM OU SEM FINS LUCRATIVOS</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a) Primeiramente, é necessário fazer o cadastro da Pessoa Física responsável pela inscrição (feita conforme item 8.4.1) e, utilizando a mesma conta, criar um novo perfil da Pessoa Jurídica (denominado Agente Coletivo no Mapa Cultural)</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b) nome da Razão Social;</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c) nome Fantasia;</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d) número do Cadastro Nacional de Pessoa Jurídica (CNPJ);</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e) data de Fundação;</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f) código / Natureza Jurídica;</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g) código/atividade principal;</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h) endereço comercial completo, com CEP;</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i) município;</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j) telefone fixo e celular;</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k) e-mails;</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l) dados do Dirigente (Nome completo, RG com órgão expedidor e data de expedição, CPF, cargo, endereço residencial, telefones e emails);</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m) cópia da cédula de identidade (RG) do dirigente;</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n) cópia do CPF ou Comprovante de Situação Cadastral no CPF do dirigente;</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o) comprovante de endereço residencial do dirigente da pessoa jurídica emitido até 03 (três) meses, contando a partir da data da inscrição do projeto; ou declaração de residência  assinada pelo dirigente da pessoa jurídica, conforme ANEXO IV;</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p) link e/ou anexo com currículo, preferencialmente em formato PDF, contendo histórico de atuação do proponente descrevendo as experiências realizadas no âmbito artístico e/ou cultural nos últimos 02 (dois) anos;</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q) apresentação de portfólio com links ou anexos necessários para comprovação de histórico de atividades de cunho artístico e/ou cultural, compatível com a área cultural;</w:t>
      </w:r>
    </w:p>
    <w:p>
      <w:pPr>
        <w:pStyle w:val="Normal1"/>
        <w:widowControl w:val="false"/>
        <w:spacing w:lineRule="auto" w:line="240"/>
        <w:ind w:left="1440" w:hanging="0"/>
        <w:jc w:val="both"/>
        <w:rPr>
          <w:rFonts w:ascii="Calibri" w:hAnsi="Calibri" w:eastAsia="Calibri" w:cs="Calibri"/>
          <w:sz w:val="24"/>
          <w:szCs w:val="24"/>
        </w:rPr>
      </w:pPr>
      <w:r>
        <w:rPr>
          <w:rFonts w:eastAsia="Calibri" w:cs="Calibri" w:ascii="Calibri" w:hAnsi="Calibri"/>
          <w:sz w:val="24"/>
          <w:szCs w:val="24"/>
        </w:rPr>
        <w:t>OBSERVAÇÃO: Para organização do portfólio, deverão ser apresentadas pelo menos 03 (três) comprovações de sua atuação no campo cultural, dos últimos dois anos de atuação. Poderão ser utilizados fotos, matérias de jornais e revistas, cartazes, certificados, títulos, folders, links para plataformas de vídeo etc, que comprovem as atividades descritas nos últimos dois anos, podendo ser por meio de uma declaração de órgão público ou privado declarando que o proponente atua no mercado cultural.</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r) Links para site ou blog da Pessoa Jurídica (opcional);</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s) links de vídeos da Pessoa Jurídica, publicados nos serviços YouTube ou Vimeo (opcional);</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t) outros links ou anexos que a Pessoa Jurídica julgue necessários para comprovação de histórico de atividades de cunho artístico e/ou cultural, compatível com a proposta inscrita (opcional);</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u) cópia do Cartão de CNPJ, emitido pela Secretaria da Receita Federal;</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v) cópia do estatuto da pessoa jurídica e suas últimas alterações (para pessoa jurídica sem fins lucrativos);</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w) cópia da ata de eleição e posse da atual diretoria (para pessoa jurídica sem fins lucrativos);</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x) cópia do Contrato Social da Pessoa Jurídica e suas últimas alterações (para pessoa jurídica com fins lucrativos);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 Estando devidamente cadastrado no Mapa Cultural, o(a) agente cultural deverá realizar a inscrição no presente edital por meio da vinculação de seu perfil à Ficha de Inscrição deste Edital, em que serão solicitadas as informações e documentos a respeito de sua proposta.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8.5.1. Os dados cadastrais da proposta na Ficha de Inscrição constam no Anexo I.</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8.5.2. O proponente deve preencher a Proposta de Plano de Trabalho, incluindo a planilha orçamentária, presente no Formulário de Inscrição, informando como será utilizado o recurso financeiro recebido.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8.5.3. A estimativa de custos do projeto será prevista por categorias, sem a necessidade de detalhamento por item de despesa, conforme § 1º do art. 24 do Decreto 11.453/2023.</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8.5.4.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8.5.5.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8.5.6.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8.5.7. Caso o proponente discorde dos valores glosados (vetados) poderá apresentar recurso.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8.5.8. O valor solicitado não poderá ser superior ao valor máximo destinado a cada projeto.</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9. INFORMAÇÕES IMPORTANTES SOBRE AS INSCRIÇÕES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9.1. Cada agente cultural poderá concorrer neste edital com, no máximo (02) dois e poderá ser contemplado com no máximo 01 (uma) proposta. Havendo mais de duas inscrições realizadas pelo mesmo agente, serão consideradas as mais recentes.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9.2. As propostas que apresentem quaisquer formas de preconceito de origem, raça, etnia, gênero, cor, idade ou outras formas de discriminação serão desclassificadas, com fundamento no disposto no </w:t>
      </w:r>
      <w:r>
        <w:fldChar w:fldCharType="begin"/>
      </w:r>
      <w:r>
        <w:rPr>
          <w:sz w:val="24"/>
          <w:szCs w:val="24"/>
          <w:rFonts w:eastAsia="Calibri" w:cs="Calibri" w:ascii="Calibri" w:hAnsi="Calibri"/>
        </w:rPr>
        <w:instrText> HYPERLINK "http://www.planalto.gov.br/ccivil_03/Constituicao/Constituicao.htm" \l "art3iv"</w:instrText>
      </w:r>
      <w:r>
        <w:rPr>
          <w:sz w:val="24"/>
          <w:szCs w:val="24"/>
          <w:rFonts w:eastAsia="Calibri" w:cs="Calibri" w:ascii="Calibri" w:hAnsi="Calibri"/>
        </w:rPr>
        <w:fldChar w:fldCharType="separate"/>
      </w:r>
      <w:r>
        <w:rPr>
          <w:rFonts w:eastAsia="Calibri" w:cs="Calibri" w:ascii="Calibri" w:hAnsi="Calibri"/>
          <w:sz w:val="24"/>
          <w:szCs w:val="24"/>
        </w:rPr>
        <w:t>inciso IV do caput do art. 3º da Constituição,</w:t>
      </w:r>
      <w:r>
        <w:rPr>
          <w:sz w:val="24"/>
          <w:szCs w:val="24"/>
          <w:rFonts w:eastAsia="Calibri" w:cs="Calibri" w:ascii="Calibri" w:hAnsi="Calibri"/>
        </w:rPr>
        <w:fldChar w:fldCharType="end"/>
      </w:r>
      <w:r>
        <w:rPr>
          <w:rFonts w:eastAsia="Calibri" w:cs="Calibri" w:ascii="Calibri" w:hAnsi="Calibri"/>
          <w:sz w:val="24"/>
          <w:szCs w:val="24"/>
        </w:rPr>
        <w:t> garantidos o contraditório e a ampla defesa.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9.3. A Secretaria não se responsabilizará por congestionamento do sistema ou qualquer fato superveniente que impossibilite a inscrição até às 23h59 (vinte e três horas e cinquenta e nove minutos) do último dia de inscrição.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9.4. Serão consideradas válidas somente as inscrições finalizadas e enviadas dentro do prazo de inscrição, sendo desconsideradas todas as demais.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9.5. Todas as informações referentes à ficha de inscrição deverão ser verídicas e atualizadas, sendo o(a) candidato(a) é o(a) único(a) responsável pela veracidade e atualização das informações e documentos encaminhados.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9.6. Eventuais irregularidades na documentação e informações enviadas no ato da inscrição, constatadas a qualquer tempo, implicará na inabilitação do candidato, sem prejuízo da aplicação das medidas legais cabíveis.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9.7. A Secretaria disponibilizará atendimento aos candidatos(as) em dias úteis, das 8 às 13 horas, durante o período de inscrição, de maneira presencial e virtual, através do endereço eletrônico e demais canais de comunicação da Prefeitura Municipal e da Secretaria de Juventude, Desporto, Cultura, Turismo e Lazer.</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10. ACESSIBILIDADE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10.1. Os projetos devem contar com medidas de acessibilidade física, atitudinal e comunicacional compatíveis com as características dos produtos resultantes do objeto, nos termos do disposto na </w:t>
      </w:r>
      <w:hyperlink r:id="rId3">
        <w:r>
          <w:rPr>
            <w:rFonts w:eastAsia="Calibri" w:cs="Calibri" w:ascii="Calibri" w:hAnsi="Calibri"/>
            <w:color w:val="0000FF"/>
            <w:sz w:val="24"/>
            <w:szCs w:val="24"/>
            <w:u w:val="single"/>
          </w:rPr>
          <w:t>Lei nº 13.146, de 6 de julho de 2015</w:t>
        </w:r>
      </w:hyperlink>
      <w:r>
        <w:rPr>
          <w:rFonts w:eastAsia="Calibri" w:cs="Calibri" w:ascii="Calibri" w:hAnsi="Calibri"/>
          <w:sz w:val="24"/>
          <w:szCs w:val="24"/>
        </w:rPr>
        <w:t> (Lei Brasileira de Inclusão da Pessoa com Deficiência), de modo a contemplar:</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 - no aspecto arquitetônico, recursos de acessibilidade para permitir o acesso de pessoas com mobilidade reduzida ou idosas aos locais onde se realizam as atividades culturais e a espaços acessórios, como banheiros, áreas de alimentação e circulação;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II - no aspecto comunicacional, recursos de acessibilidade para permitir o acesso de pessoas com deficiência intelectual, auditiva ou visual ao conteúdo dos produtos culturais gerados pelo projeto, pela iniciativa ou pelo espaço; 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10.2. Os projetos devem prever obrigatoriamente medidas de acessibilidade, sendo assegurado para essa finalidade no mínimo 10% do valor total do projeto.</w:t>
      </w:r>
    </w:p>
    <w:p>
      <w:pPr>
        <w:pStyle w:val="Normal1"/>
        <w:spacing w:lineRule="auto" w:line="240" w:before="120" w:after="120"/>
        <w:ind w:right="120" w:hanging="0"/>
        <w:jc w:val="both"/>
        <w:rPr>
          <w:rFonts w:ascii="Calibri" w:hAnsi="Calibri" w:eastAsia="Calibri" w:cs="Calibri"/>
          <w:sz w:val="24"/>
          <w:szCs w:val="24"/>
        </w:rPr>
      </w:pPr>
      <w:bookmarkStart w:id="3" w:name="_30j0zll"/>
      <w:bookmarkEnd w:id="3"/>
      <w:r>
        <w:rPr>
          <w:rFonts w:eastAsia="Calibri" w:cs="Calibri" w:ascii="Calibri" w:hAnsi="Calibri"/>
          <w:sz w:val="24"/>
          <w:szCs w:val="24"/>
        </w:rPr>
        <w:t>10.3. A utilização do percentual mínimo de 10% de que trata o item 10.2 pode ser excepcionalmente dispensada quando: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 - for inaplicável em razão das características do objeto 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II - quando o projeto já contemplar integralmente as medidas de acessibilidade compatíveis com as características do objeto 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10.4. O proponente deve apresentar justificativa para os casos em que o percentual mínimo de 10% é inaplicável, que será avaliada pela Comissão de Seleção.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10.5. Caso o proponente não preveja o percentual mínimo e não apresente justificativa, ou caso a justificativa não seja aprovada pela Comissão, a inscrição será desclassificada.</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11. CONTRAPARTIDA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11.1. Os agentes culturais contemplados neste edital deverão realizar contrapartida social a ser pactuada com a Administração Pública, incluída obrigatoriamente a realização de exibições gratuitas dos conteúdos selecionados, assegurados a acessibilidade de grupos com restrições e o direcionamento à rede de ensino da localidade.</w:t>
      </w:r>
    </w:p>
    <w:p>
      <w:pPr>
        <w:pStyle w:val="Normal1"/>
        <w:spacing w:lineRule="auto" w:line="240" w:before="120" w:after="120"/>
        <w:ind w:right="120" w:hanging="0"/>
        <w:jc w:val="both"/>
        <w:rPr>
          <w:rFonts w:ascii="Calibri" w:hAnsi="Calibri" w:eastAsia="Calibri" w:cs="Calibri"/>
          <w:sz w:val="24"/>
          <w:szCs w:val="24"/>
          <w:highlight w:val="yellow"/>
        </w:rPr>
      </w:pPr>
      <w:r>
        <w:rPr>
          <w:rFonts w:eastAsia="Calibri" w:cs="Calibri" w:ascii="Calibri" w:hAnsi="Calibri"/>
          <w:sz w:val="24"/>
          <w:szCs w:val="24"/>
        </w:rPr>
        <w:t>11.2. As sugestões de contrapartidas deverão ser informadas no Formulário de Inscrição e devem ser executadas em data a ser estabelecida pelo Município, podendo coincidir com datas de eventos do calendário cultural da cidade, desde que a data seja informada com 30 (trinta) dias de antecedência ao agente cultural.</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12. PROCESSO DE AVALIAÇÃO E SELEÇÃO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12.1. A avaliação e seleção dos projetos submetidos a este Edital será composta por uma única etapa, que engloba a análise dos documentos de habilitação enviados e a análise do mérito cultural dos projetos.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12.1.1. A avaliação e seleção será realizada por Comissão de Seleção composta por pareceristas e/ou consultores (membros da sociedade civil com conhecimento e atuação no campo de abrangência deste edital) indicados pela Secretaria de Juventude, Desporto, Cultura, Turismo e membros do corpo técnico (servidores ou terceirizados) desta.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12.2. A análise dos documentos de habilitação enviados trata da verificação das condições de participação, da documentação exigida no ato da inscrição, da regularidade de todas as assinaturas e documentos e do cumprimento dos prazos, conforme estabelecido no Edital.</w:t>
      </w:r>
    </w:p>
    <w:p>
      <w:pPr>
        <w:pStyle w:val="Normal1"/>
        <w:spacing w:lineRule="auto" w:line="240" w:before="120" w:after="120"/>
        <w:ind w:right="120" w:hanging="0"/>
        <w:jc w:val="both"/>
        <w:rPr>
          <w:rFonts w:ascii="Calibri" w:hAnsi="Calibri" w:eastAsia="Calibri" w:cs="Calibri"/>
          <w:sz w:val="24"/>
          <w:szCs w:val="24"/>
          <w:highlight w:val="yellow"/>
        </w:rPr>
      </w:pPr>
      <w:r>
        <w:rPr>
          <w:rFonts w:eastAsia="Calibri" w:cs="Calibri" w:ascii="Calibri" w:hAnsi="Calibri"/>
          <w:sz w:val="24"/>
          <w:szCs w:val="24"/>
        </w:rPr>
        <w:t>12.3. A análise do mérito cultural trata da identificação, tanto individual quanto sobre seu contexto social, de aspectos relevantes dos projetos culturais, concorrentes em uma mesma categoria de apoio, realizada por meio da atribuição fundamentada de notas aos critérios descritos neste edital.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12.3.1. Para a análise do mérito cultural do projeto serão considerados os seguintes critérios de pontuação:</w:t>
      </w:r>
    </w:p>
    <w:p>
      <w:pPr>
        <w:pStyle w:val="Normal1"/>
        <w:spacing w:lineRule="auto" w:line="240" w:before="120" w:after="0"/>
        <w:ind w:right="160" w:hanging="0"/>
        <w:jc w:val="both"/>
        <w:rPr>
          <w:rFonts w:ascii="Calibri" w:hAnsi="Calibri" w:eastAsia="Calibri" w:cs="Calibri"/>
          <w:sz w:val="24"/>
          <w:szCs w:val="24"/>
        </w:rPr>
      </w:pPr>
      <w:r>
        <w:rPr>
          <w:rFonts w:eastAsia="Calibri" w:cs="Calibri" w:ascii="Calibri" w:hAnsi="Calibri"/>
          <w:sz w:val="24"/>
          <w:szCs w:val="24"/>
        </w:rPr>
        <w:t xml:space="preserve"> </w:t>
      </w:r>
    </w:p>
    <w:tbl>
      <w:tblPr>
        <w:tblStyle w:val="Table2"/>
        <w:tblW w:w="9026" w:type="dxa"/>
        <w:jc w:val="left"/>
        <w:tblInd w:w="0" w:type="dxa"/>
        <w:tblLayout w:type="fixed"/>
        <w:tblCellMar>
          <w:top w:w="100" w:type="dxa"/>
          <w:left w:w="100" w:type="dxa"/>
          <w:bottom w:w="100" w:type="dxa"/>
          <w:right w:w="100" w:type="dxa"/>
        </w:tblCellMar>
        <w:tblLook w:val="0600"/>
      </w:tblPr>
      <w:tblGrid>
        <w:gridCol w:w="5693"/>
        <w:gridCol w:w="1065"/>
        <w:gridCol w:w="1110"/>
        <w:gridCol w:w="1157"/>
      </w:tblGrid>
      <w:tr>
        <w:trPr>
          <w:trHeight w:val="1190" w:hRule="atLeast"/>
        </w:trPr>
        <w:tc>
          <w:tcPr>
            <w:tcW w:w="5693" w:type="dxa"/>
            <w:tcBorders>
              <w:top w:val="single" w:sz="8" w:space="0" w:color="000000"/>
              <w:left w:val="single" w:sz="8" w:space="0" w:color="000000"/>
              <w:bottom w:val="single" w:sz="8" w:space="0" w:color="000000"/>
              <w:right w:val="single" w:sz="8" w:space="0" w:color="000000"/>
            </w:tcBorders>
            <w:shd w:fill="D0E0E3" w:val="clear"/>
          </w:tcPr>
          <w:p>
            <w:pPr>
              <w:pStyle w:val="Normal1"/>
              <w:widowControl w:val="false"/>
              <w:spacing w:lineRule="auto" w:line="240" w:before="120" w:after="0"/>
              <w:jc w:val="center"/>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120" w:after="0"/>
              <w:jc w:val="center"/>
              <w:rPr>
                <w:rFonts w:ascii="Calibri" w:hAnsi="Calibri" w:eastAsia="Calibri" w:cs="Calibri"/>
                <w:b/>
                <w:b/>
                <w:sz w:val="24"/>
                <w:szCs w:val="24"/>
              </w:rPr>
            </w:pPr>
            <w:r>
              <w:rPr>
                <w:rFonts w:eastAsia="Calibri" w:cs="Calibri" w:ascii="Calibri" w:hAnsi="Calibri"/>
                <w:b/>
                <w:sz w:val="24"/>
                <w:szCs w:val="24"/>
              </w:rPr>
              <w:t>CRITÉRIOS</w:t>
            </w:r>
          </w:p>
        </w:tc>
        <w:tc>
          <w:tcPr>
            <w:tcW w:w="1065" w:type="dxa"/>
            <w:tcBorders>
              <w:top w:val="single" w:sz="8" w:space="0" w:color="000000"/>
              <w:bottom w:val="single" w:sz="8" w:space="0" w:color="000000"/>
              <w:right w:val="single" w:sz="8" w:space="0" w:color="000000"/>
            </w:tcBorders>
            <w:shd w:fill="D0E0E3" w:val="clear"/>
          </w:tcPr>
          <w:p>
            <w:pPr>
              <w:pStyle w:val="Normal1"/>
              <w:widowControl w:val="false"/>
              <w:spacing w:lineRule="auto" w:line="240" w:before="120" w:after="0"/>
              <w:jc w:val="both"/>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120" w:after="0"/>
              <w:jc w:val="both"/>
              <w:rPr>
                <w:rFonts w:ascii="Calibri" w:hAnsi="Calibri" w:eastAsia="Calibri" w:cs="Calibri"/>
                <w:b/>
                <w:b/>
                <w:sz w:val="24"/>
                <w:szCs w:val="24"/>
              </w:rPr>
            </w:pPr>
            <w:r>
              <w:rPr>
                <w:rFonts w:eastAsia="Calibri" w:cs="Calibri" w:ascii="Calibri" w:hAnsi="Calibri"/>
                <w:b/>
                <w:sz w:val="24"/>
                <w:szCs w:val="24"/>
              </w:rPr>
              <w:t>PESO</w:t>
            </w:r>
          </w:p>
        </w:tc>
        <w:tc>
          <w:tcPr>
            <w:tcW w:w="1110" w:type="dxa"/>
            <w:tcBorders>
              <w:top w:val="single" w:sz="8" w:space="0" w:color="000000"/>
              <w:bottom w:val="single" w:sz="8" w:space="0" w:color="000000"/>
              <w:right w:val="single" w:sz="8" w:space="0" w:color="000000"/>
            </w:tcBorders>
            <w:shd w:fill="D0E0E3" w:val="clear"/>
          </w:tcPr>
          <w:p>
            <w:pPr>
              <w:pStyle w:val="Normal1"/>
              <w:widowControl w:val="false"/>
              <w:spacing w:lineRule="auto" w:line="240" w:before="120" w:after="0"/>
              <w:ind w:right="-20" w:hanging="0"/>
              <w:jc w:val="both"/>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120" w:after="0"/>
              <w:ind w:right="-20" w:hanging="0"/>
              <w:jc w:val="both"/>
              <w:rPr>
                <w:rFonts w:ascii="Calibri" w:hAnsi="Calibri" w:eastAsia="Calibri" w:cs="Calibri"/>
                <w:b/>
                <w:b/>
                <w:sz w:val="24"/>
                <w:szCs w:val="24"/>
              </w:rPr>
            </w:pPr>
            <w:r>
              <w:rPr>
                <w:rFonts w:eastAsia="Calibri" w:cs="Calibri" w:ascii="Calibri" w:hAnsi="Calibri"/>
                <w:b/>
                <w:sz w:val="24"/>
                <w:szCs w:val="24"/>
              </w:rPr>
              <w:t>PONTOS</w:t>
            </w:r>
          </w:p>
        </w:tc>
        <w:tc>
          <w:tcPr>
            <w:tcW w:w="1157" w:type="dxa"/>
            <w:tcBorders>
              <w:top w:val="single" w:sz="8" w:space="0" w:color="000000"/>
              <w:bottom w:val="single" w:sz="8" w:space="0" w:color="000000"/>
              <w:right w:val="single" w:sz="8" w:space="0" w:color="000000"/>
            </w:tcBorders>
            <w:shd w:fill="D0E0E3" w:val="clear"/>
          </w:tcPr>
          <w:p>
            <w:pPr>
              <w:pStyle w:val="Normal1"/>
              <w:widowControl w:val="false"/>
              <w:spacing w:lineRule="auto" w:line="240" w:before="120" w:after="0"/>
              <w:jc w:val="both"/>
              <w:rPr>
                <w:rFonts w:ascii="Calibri" w:hAnsi="Calibri" w:eastAsia="Calibri" w:cs="Calibri"/>
                <w:b/>
                <w:b/>
                <w:sz w:val="24"/>
                <w:szCs w:val="24"/>
              </w:rPr>
            </w:pPr>
            <w:r>
              <w:rPr>
                <w:rFonts w:eastAsia="Calibri" w:cs="Calibri" w:ascii="Calibri" w:hAnsi="Calibri"/>
                <w:b/>
                <w:sz w:val="24"/>
                <w:szCs w:val="24"/>
              </w:rPr>
              <w:t>TOTAL DE PONTOS</w:t>
            </w:r>
          </w:p>
        </w:tc>
      </w:tr>
      <w:tr>
        <w:trPr>
          <w:trHeight w:val="119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240" w:before="120" w:after="0"/>
              <w:ind w:left="140" w:right="100" w:hanging="0"/>
              <w:jc w:val="both"/>
              <w:rPr>
                <w:rFonts w:ascii="Calibri" w:hAnsi="Calibri" w:eastAsia="Calibri" w:cs="Calibri"/>
                <w:sz w:val="24"/>
                <w:szCs w:val="24"/>
                <w:highlight w:val="white"/>
              </w:rPr>
            </w:pPr>
            <w:r>
              <w:rPr>
                <w:rFonts w:eastAsia="Calibri" w:cs="Calibri" w:ascii="Calibri" w:hAnsi="Calibri"/>
                <w:sz w:val="24"/>
                <w:szCs w:val="24"/>
                <w:highlight w:val="white"/>
              </w:rPr>
              <w:t>a) Singularidade do produto cultural, grau de criatividade e de experimentação estética do conteúdo artístico-cultural apresentado.</w:t>
            </w:r>
          </w:p>
        </w:tc>
        <w:tc>
          <w:tcPr>
            <w:tcW w:w="1065"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2</w:t>
            </w:r>
          </w:p>
        </w:tc>
        <w:tc>
          <w:tcPr>
            <w:tcW w:w="1110" w:type="dxa"/>
            <w:tcBorders>
              <w:bottom w:val="single" w:sz="8" w:space="0" w:color="000000"/>
              <w:right w:val="single" w:sz="8" w:space="0" w:color="000000"/>
            </w:tcBorders>
          </w:tcPr>
          <w:p>
            <w:pPr>
              <w:pStyle w:val="Normal1"/>
              <w:widowControl w:val="false"/>
              <w:spacing w:lineRule="auto" w:line="240" w:before="120" w:after="0"/>
              <w:ind w:right="360" w:hanging="0"/>
              <w:jc w:val="both"/>
              <w:rPr>
                <w:rFonts w:ascii="Calibri" w:hAnsi="Calibri" w:eastAsia="Calibri" w:cs="Calibri"/>
                <w:sz w:val="24"/>
                <w:szCs w:val="24"/>
                <w:highlight w:val="white"/>
              </w:rPr>
            </w:pPr>
            <w:r>
              <w:rPr>
                <w:rFonts w:eastAsia="Calibri" w:cs="Calibri" w:ascii="Calibri" w:hAnsi="Calibri"/>
                <w:sz w:val="24"/>
                <w:szCs w:val="24"/>
                <w:highlight w:val="white"/>
              </w:rPr>
              <w:t>0 a 5</w:t>
            </w:r>
          </w:p>
        </w:tc>
        <w:tc>
          <w:tcPr>
            <w:tcW w:w="1157"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10</w:t>
            </w:r>
          </w:p>
        </w:tc>
      </w:tr>
      <w:tr>
        <w:trPr>
          <w:trHeight w:val="119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240" w:before="120" w:after="0"/>
              <w:ind w:left="140" w:right="100" w:hanging="0"/>
              <w:jc w:val="both"/>
              <w:rPr>
                <w:rFonts w:ascii="Calibri" w:hAnsi="Calibri" w:eastAsia="Calibri" w:cs="Calibri"/>
                <w:sz w:val="24"/>
                <w:szCs w:val="24"/>
                <w:highlight w:val="white"/>
              </w:rPr>
            </w:pPr>
            <w:r>
              <w:rPr>
                <w:rFonts w:eastAsia="Calibri" w:cs="Calibri" w:ascii="Calibri" w:hAnsi="Calibri"/>
                <w:sz w:val="24"/>
                <w:szCs w:val="24"/>
                <w:highlight w:val="white"/>
              </w:rPr>
              <w:t>b) Relevância e abrangência cultural do produto cultural, considerando o potencial de comunicação com a diversidade de público.</w:t>
            </w:r>
          </w:p>
        </w:tc>
        <w:tc>
          <w:tcPr>
            <w:tcW w:w="1065"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2</w:t>
            </w:r>
          </w:p>
        </w:tc>
        <w:tc>
          <w:tcPr>
            <w:tcW w:w="1110" w:type="dxa"/>
            <w:tcBorders>
              <w:bottom w:val="single" w:sz="8" w:space="0" w:color="000000"/>
              <w:right w:val="single" w:sz="8" w:space="0" w:color="000000"/>
            </w:tcBorders>
          </w:tcPr>
          <w:p>
            <w:pPr>
              <w:pStyle w:val="Normal1"/>
              <w:widowControl w:val="false"/>
              <w:spacing w:lineRule="auto" w:line="240" w:before="120" w:after="0"/>
              <w:ind w:right="360" w:hanging="0"/>
              <w:jc w:val="both"/>
              <w:rPr>
                <w:rFonts w:ascii="Calibri" w:hAnsi="Calibri" w:eastAsia="Calibri" w:cs="Calibri"/>
                <w:sz w:val="24"/>
                <w:szCs w:val="24"/>
                <w:highlight w:val="white"/>
              </w:rPr>
            </w:pPr>
            <w:r>
              <w:rPr>
                <w:rFonts w:eastAsia="Calibri" w:cs="Calibri" w:ascii="Calibri" w:hAnsi="Calibri"/>
                <w:sz w:val="24"/>
                <w:szCs w:val="24"/>
                <w:highlight w:val="white"/>
              </w:rPr>
              <w:t>0 a 5</w:t>
            </w:r>
          </w:p>
        </w:tc>
        <w:tc>
          <w:tcPr>
            <w:tcW w:w="1157"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10</w:t>
            </w:r>
          </w:p>
        </w:tc>
      </w:tr>
      <w:tr>
        <w:trPr>
          <w:trHeight w:val="93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240" w:before="120" w:after="0"/>
              <w:ind w:left="140" w:right="60" w:hanging="0"/>
              <w:jc w:val="both"/>
              <w:rPr>
                <w:rFonts w:ascii="Calibri" w:hAnsi="Calibri" w:eastAsia="Calibri" w:cs="Calibri"/>
                <w:sz w:val="24"/>
                <w:szCs w:val="24"/>
                <w:highlight w:val="white"/>
              </w:rPr>
            </w:pPr>
            <w:r>
              <w:rPr>
                <w:rFonts w:eastAsia="Calibri" w:cs="Calibri" w:ascii="Calibri" w:hAnsi="Calibri"/>
                <w:sz w:val="24"/>
                <w:szCs w:val="24"/>
                <w:highlight w:val="white"/>
              </w:rPr>
              <w:t>c) Histórico do proponente (tempo de execução de atividades, relevância do grupo em nível local, regional e nacional)</w:t>
            </w:r>
          </w:p>
        </w:tc>
        <w:tc>
          <w:tcPr>
            <w:tcW w:w="1065"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2</w:t>
            </w:r>
          </w:p>
        </w:tc>
        <w:tc>
          <w:tcPr>
            <w:tcW w:w="1110" w:type="dxa"/>
            <w:tcBorders>
              <w:bottom w:val="single" w:sz="8" w:space="0" w:color="000000"/>
              <w:right w:val="single" w:sz="8" w:space="0" w:color="000000"/>
            </w:tcBorders>
          </w:tcPr>
          <w:p>
            <w:pPr>
              <w:pStyle w:val="Normal1"/>
              <w:widowControl w:val="false"/>
              <w:spacing w:lineRule="auto" w:line="240" w:before="120" w:after="0"/>
              <w:ind w:right="360" w:hanging="0"/>
              <w:jc w:val="both"/>
              <w:rPr>
                <w:rFonts w:ascii="Calibri" w:hAnsi="Calibri" w:eastAsia="Calibri" w:cs="Calibri"/>
                <w:sz w:val="24"/>
                <w:szCs w:val="24"/>
                <w:highlight w:val="white"/>
              </w:rPr>
            </w:pPr>
            <w:r>
              <w:rPr>
                <w:rFonts w:eastAsia="Calibri" w:cs="Calibri" w:ascii="Calibri" w:hAnsi="Calibri"/>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8</w:t>
            </w:r>
          </w:p>
        </w:tc>
      </w:tr>
      <w:tr>
        <w:trPr>
          <w:trHeight w:val="120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240" w:before="120" w:after="0"/>
              <w:ind w:left="140" w:right="100" w:hanging="0"/>
              <w:jc w:val="both"/>
              <w:rPr>
                <w:rFonts w:ascii="Calibri" w:hAnsi="Calibri" w:eastAsia="Calibri" w:cs="Calibri"/>
                <w:sz w:val="24"/>
                <w:szCs w:val="24"/>
                <w:highlight w:val="white"/>
              </w:rPr>
            </w:pPr>
            <w:r>
              <w:rPr>
                <w:rFonts w:eastAsia="Calibri" w:cs="Calibri" w:ascii="Calibri" w:hAnsi="Calibri"/>
                <w:sz w:val="24"/>
                <w:szCs w:val="24"/>
                <w:highlight w:val="white"/>
              </w:rPr>
              <w:t>d) Exequibilidade da proposta de contrapartida com base na relação de equilíbrio entre as atividades, e os custos apresentados.</w:t>
            </w:r>
          </w:p>
        </w:tc>
        <w:tc>
          <w:tcPr>
            <w:tcW w:w="1065"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1</w:t>
            </w:r>
          </w:p>
        </w:tc>
        <w:tc>
          <w:tcPr>
            <w:tcW w:w="1110" w:type="dxa"/>
            <w:tcBorders>
              <w:bottom w:val="single" w:sz="8" w:space="0" w:color="000000"/>
              <w:right w:val="single" w:sz="8" w:space="0" w:color="000000"/>
            </w:tcBorders>
          </w:tcPr>
          <w:p>
            <w:pPr>
              <w:pStyle w:val="Normal1"/>
              <w:widowControl w:val="false"/>
              <w:spacing w:lineRule="auto" w:line="240" w:before="120" w:after="0"/>
              <w:ind w:right="360" w:hanging="0"/>
              <w:jc w:val="both"/>
              <w:rPr>
                <w:rFonts w:ascii="Calibri" w:hAnsi="Calibri" w:eastAsia="Calibri" w:cs="Calibri"/>
                <w:sz w:val="24"/>
                <w:szCs w:val="24"/>
                <w:highlight w:val="white"/>
              </w:rPr>
            </w:pPr>
            <w:r>
              <w:rPr>
                <w:rFonts w:eastAsia="Calibri" w:cs="Calibri" w:ascii="Calibri" w:hAnsi="Calibri"/>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4</w:t>
            </w:r>
          </w:p>
        </w:tc>
      </w:tr>
      <w:tr>
        <w:trPr>
          <w:trHeight w:val="177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240" w:before="120" w:after="0"/>
              <w:ind w:left="140" w:right="100" w:hanging="0"/>
              <w:jc w:val="both"/>
              <w:rPr>
                <w:rFonts w:ascii="Calibri" w:hAnsi="Calibri" w:eastAsia="Calibri" w:cs="Calibri"/>
                <w:sz w:val="24"/>
                <w:szCs w:val="24"/>
                <w:highlight w:val="white"/>
              </w:rPr>
            </w:pPr>
            <w:r>
              <w:rPr>
                <w:rFonts w:eastAsia="Calibri" w:cs="Calibri" w:ascii="Calibri" w:hAnsi="Calibri"/>
                <w:sz w:val="24"/>
                <w:szCs w:val="24"/>
                <w:highlight w:val="white"/>
              </w:rPr>
              <w:t>e) O proponente pertence a movimentos sociais de identidade, como os que representam as etnias (culturas indígenas, afro-brasileiras, ciganos, entre outras), as identidades sexuais (de gênero, transgênero e de orientação sexual) ou tem em seu histórico ações que considerem essas pautas.</w:t>
            </w:r>
          </w:p>
        </w:tc>
        <w:tc>
          <w:tcPr>
            <w:tcW w:w="1065"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1</w:t>
            </w:r>
          </w:p>
        </w:tc>
        <w:tc>
          <w:tcPr>
            <w:tcW w:w="1110" w:type="dxa"/>
            <w:tcBorders>
              <w:bottom w:val="single" w:sz="8" w:space="0" w:color="000000"/>
              <w:right w:val="single" w:sz="8" w:space="0" w:color="000000"/>
            </w:tcBorders>
          </w:tcPr>
          <w:p>
            <w:pPr>
              <w:pStyle w:val="Normal1"/>
              <w:widowControl w:val="false"/>
              <w:spacing w:lineRule="auto" w:line="240" w:before="120" w:after="0"/>
              <w:ind w:right="360" w:hanging="0"/>
              <w:jc w:val="both"/>
              <w:rPr>
                <w:rFonts w:ascii="Calibri" w:hAnsi="Calibri" w:eastAsia="Calibri" w:cs="Calibri"/>
                <w:sz w:val="24"/>
                <w:szCs w:val="24"/>
                <w:highlight w:val="white"/>
              </w:rPr>
            </w:pPr>
            <w:r>
              <w:rPr>
                <w:rFonts w:eastAsia="Calibri" w:cs="Calibri" w:ascii="Calibri" w:hAnsi="Calibri"/>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4</w:t>
            </w:r>
          </w:p>
        </w:tc>
      </w:tr>
      <w:tr>
        <w:trPr>
          <w:trHeight w:val="930" w:hRule="atLeast"/>
        </w:trPr>
        <w:tc>
          <w:tcPr>
            <w:tcW w:w="5693" w:type="dxa"/>
            <w:tcBorders>
              <w:left w:val="single" w:sz="8" w:space="0" w:color="000000"/>
              <w:bottom w:val="single" w:sz="8" w:space="0" w:color="000000"/>
              <w:right w:val="single" w:sz="8" w:space="0" w:color="000000"/>
            </w:tcBorders>
          </w:tcPr>
          <w:p>
            <w:pPr>
              <w:pStyle w:val="Normal1"/>
              <w:widowControl w:val="false"/>
              <w:ind w:left="141" w:hanging="0"/>
              <w:jc w:val="both"/>
              <w:rPr>
                <w:rFonts w:ascii="Calibri" w:hAnsi="Calibri" w:eastAsia="Calibri" w:cs="Calibri"/>
                <w:sz w:val="24"/>
                <w:szCs w:val="24"/>
              </w:rPr>
            </w:pPr>
            <w:r>
              <w:rPr>
                <w:rFonts w:eastAsia="Calibri" w:cs="Calibri" w:ascii="Calibri" w:hAnsi="Calibri"/>
                <w:sz w:val="24"/>
                <w:szCs w:val="24"/>
              </w:rPr>
              <w:t>f) Grau de contribuição da proposta na promoção da</w:t>
            </w:r>
          </w:p>
          <w:p>
            <w:pPr>
              <w:pStyle w:val="Normal1"/>
              <w:widowControl w:val="false"/>
              <w:ind w:left="141" w:hanging="0"/>
              <w:jc w:val="both"/>
              <w:rPr>
                <w:rFonts w:ascii="Calibri" w:hAnsi="Calibri" w:eastAsia="Calibri" w:cs="Calibri"/>
                <w:sz w:val="24"/>
                <w:szCs w:val="24"/>
              </w:rPr>
            </w:pPr>
            <w:r>
              <w:rPr>
                <w:rFonts w:eastAsia="Calibri" w:cs="Calibri" w:ascii="Calibri" w:hAnsi="Calibri"/>
                <w:sz w:val="24"/>
                <w:szCs w:val="24"/>
              </w:rPr>
              <w:t>acessibilidade de conteúdos artísticos e culturais para</w:t>
            </w:r>
          </w:p>
          <w:p>
            <w:pPr>
              <w:pStyle w:val="Normal1"/>
              <w:widowControl w:val="false"/>
              <w:ind w:left="141" w:hanging="0"/>
              <w:jc w:val="both"/>
              <w:rPr>
                <w:rFonts w:ascii="Calibri" w:hAnsi="Calibri" w:eastAsia="Calibri" w:cs="Calibri"/>
                <w:sz w:val="24"/>
                <w:szCs w:val="24"/>
              </w:rPr>
            </w:pPr>
            <w:r>
              <w:rPr>
                <w:rFonts w:eastAsia="Calibri" w:cs="Calibri" w:ascii="Calibri" w:hAnsi="Calibri"/>
                <w:sz w:val="24"/>
                <w:szCs w:val="24"/>
              </w:rPr>
              <w:t>compreensão por qualquer pessoa, independente de sua condição física, comunicacional e intelectual.</w:t>
            </w:r>
          </w:p>
        </w:tc>
        <w:tc>
          <w:tcPr>
            <w:tcW w:w="1065"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1</w:t>
            </w:r>
          </w:p>
        </w:tc>
        <w:tc>
          <w:tcPr>
            <w:tcW w:w="1110" w:type="dxa"/>
            <w:tcBorders>
              <w:bottom w:val="single" w:sz="8" w:space="0" w:color="000000"/>
              <w:right w:val="single" w:sz="8" w:space="0" w:color="000000"/>
            </w:tcBorders>
          </w:tcPr>
          <w:p>
            <w:pPr>
              <w:pStyle w:val="Normal1"/>
              <w:widowControl w:val="false"/>
              <w:spacing w:lineRule="auto" w:line="240" w:before="120" w:after="0"/>
              <w:ind w:right="360" w:hanging="0"/>
              <w:jc w:val="both"/>
              <w:rPr>
                <w:rFonts w:ascii="Calibri" w:hAnsi="Calibri" w:eastAsia="Calibri" w:cs="Calibri"/>
                <w:sz w:val="24"/>
                <w:szCs w:val="24"/>
                <w:highlight w:val="white"/>
              </w:rPr>
            </w:pPr>
            <w:r>
              <w:rPr>
                <w:rFonts w:eastAsia="Calibri" w:cs="Calibri" w:ascii="Calibri" w:hAnsi="Calibri"/>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4</w:t>
            </w:r>
          </w:p>
        </w:tc>
      </w:tr>
      <w:tr>
        <w:trPr>
          <w:trHeight w:val="68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240" w:before="120" w:after="0"/>
              <w:jc w:val="center"/>
              <w:rPr>
                <w:rFonts w:ascii="Calibri" w:hAnsi="Calibri" w:eastAsia="Calibri" w:cs="Calibri"/>
                <w:b/>
                <w:b/>
                <w:sz w:val="24"/>
                <w:szCs w:val="24"/>
                <w:highlight w:val="white"/>
              </w:rPr>
            </w:pPr>
            <w:r>
              <w:rPr>
                <w:rFonts w:eastAsia="Calibri" w:cs="Calibri" w:ascii="Calibri" w:hAnsi="Calibri"/>
                <w:b/>
                <w:sz w:val="24"/>
                <w:szCs w:val="24"/>
                <w:highlight w:val="white"/>
              </w:rPr>
              <w:t>TOTAL</w:t>
            </w:r>
          </w:p>
        </w:tc>
        <w:tc>
          <w:tcPr>
            <w:tcW w:w="3332" w:type="dxa"/>
            <w:gridSpan w:val="3"/>
            <w:tcBorders>
              <w:bottom w:val="single" w:sz="8" w:space="0" w:color="000000"/>
              <w:right w:val="single" w:sz="8" w:space="0" w:color="000000"/>
            </w:tcBorders>
          </w:tcPr>
          <w:p>
            <w:pPr>
              <w:pStyle w:val="Normal1"/>
              <w:widowControl w:val="false"/>
              <w:spacing w:lineRule="auto" w:line="240" w:before="120" w:after="0"/>
              <w:jc w:val="center"/>
              <w:rPr>
                <w:rFonts w:ascii="Calibri" w:hAnsi="Calibri" w:eastAsia="Calibri" w:cs="Calibri"/>
                <w:b/>
                <w:b/>
                <w:sz w:val="24"/>
                <w:szCs w:val="24"/>
                <w:highlight w:val="white"/>
              </w:rPr>
            </w:pPr>
            <w:r>
              <w:rPr>
                <w:rFonts w:eastAsia="Calibri" w:cs="Calibri" w:ascii="Calibri" w:hAnsi="Calibri"/>
                <w:b/>
                <w:sz w:val="24"/>
                <w:szCs w:val="24"/>
                <w:highlight w:val="white"/>
              </w:rPr>
              <w:t>40</w:t>
            </w:r>
          </w:p>
        </w:tc>
      </w:tr>
    </w:tbl>
    <w:p>
      <w:pPr>
        <w:pStyle w:val="Normal1"/>
        <w:spacing w:lineRule="auto" w:line="276"/>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76"/>
        <w:jc w:val="both"/>
        <w:rPr>
          <w:rFonts w:ascii="Calibri" w:hAnsi="Calibri" w:eastAsia="Calibri" w:cs="Calibri"/>
          <w:sz w:val="24"/>
          <w:szCs w:val="24"/>
        </w:rPr>
      </w:pPr>
      <w:r>
        <w:rPr>
          <w:rFonts w:eastAsia="Calibri" w:cs="Calibri" w:ascii="Calibri" w:hAnsi="Calibri"/>
          <w:sz w:val="24"/>
          <w:szCs w:val="24"/>
        </w:rPr>
        <w:t>12.3.2. A pontuação máxima de cada proposta será de 40 (quarenta) pontos.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12.4. Serão consideradas desclassificadas as propostas que não obtiverem o mínimo de 24 pontos, equivalente a 60% do total máximo de pontuação dos critérios.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12.4.1. As propostas serão classificadas por ordem decrescente de pontuação;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12.4.2. Havendo empate de pontuação entre as propostas classificadas, a Comissão de Seleção promoverá o desempate com prioridade para o projeto que obtiver maior pontuação na soma do subitem “a”. Caso persista o empate, será considerada a soma do subitem “b” e sucessivamente até o subitem “e”.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12.5. O resultado preliminar da avaliação será divulgado no Mapa Cultural do Ceara, &lt;https://mapacultural.secult.ce.gov.br&gt; e no site oficial da Prefeitura Municipal de MASSAPÊ, sendo de total responsabilidade do(a) candidato(a) acompanhar a atualização dessas informações.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12.6. Contra o resultado preliminar da avaliação, caberá recurso no prazo de 3 (três) dias úteis a contar da publicação do resultado, considerando-se para início da contagem o primeiro dia útil posterior à publicação. Os recursos apresentados após o prazo não serão avaliados pela Comissão de Seleção.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12.6.1. O pedido de recurso deverá conter, obrigatoriamente, justificativa e ser encaminhado exclusivamente para o e-mail, conforme formulário específico de recurso (Anexo V).</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12.6.2. No recurso fundamentado ao resultado, será possível a inclusão de documentos para retificar os documentos que porventura tenham sido apresentados com alguma desconformidade, de acordo com o pronunciamento da Comissão de Seleção.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12.7. Para o caso de não haver inscritos suficientes ou classificados, poderá ser solicitado ajuste para melhorar o cumprimento do 'item c' dos critérios.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12.8. A lista final dos selecionados e classificáveis será homologada nos canais oficiais pela Secretaria de Juventude, Desporto, Cultura, Turismo e Lazer de Massapê e divulgada no Mapa Cultural do Ceará.</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12.8.1. Com o intuito de dar maior celeridade ao processo, as categorias poderão ser divulgadas separadamente.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12.9. Não caberá recurso do resultado final.</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13. ASSINATURA DO TERMO DE EXECUÇÃO CULTURAL E RECEBIMENTO DOS RECURSOS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13.1. Finalizado o processo de avaliação e seleção, o agente cultural contemplado será convocado a assinar o Termo de Execução Cultural, conforme Anexo VI deste Edital, de forma presencial ou eletrônica.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13.1.1. O Termo de Execução Cultural corresponde ao documento a ser assinado pelo agente cultural selecionado neste Edital</w:t>
      </w:r>
      <w:r>
        <w:rPr>
          <w:rFonts w:eastAsia="Calibri" w:cs="Calibri" w:ascii="Calibri" w:hAnsi="Calibri"/>
          <w:color w:val="FF0000"/>
          <w:sz w:val="24"/>
          <w:szCs w:val="24"/>
        </w:rPr>
        <w:t> </w:t>
      </w:r>
      <w:r>
        <w:rPr>
          <w:rFonts w:eastAsia="Calibri" w:cs="Calibri" w:ascii="Calibri" w:hAnsi="Calibri"/>
          <w:sz w:val="24"/>
          <w:szCs w:val="24"/>
        </w:rPr>
        <w:t>contendo as obrigações dos assinantes do Termo.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13.1.2. A assinatura do Termo será precedida da comprovação da existência da conta bancária em nome do proponente para o recebimento dos recursos deste Edital;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13.1.3. A assinatura do Termo será ainda precedida da verificação da situação de regularidade, mediante a verificação dos seguintes documentos:</w:t>
      </w:r>
    </w:p>
    <w:p>
      <w:pPr>
        <w:pStyle w:val="Normal1"/>
        <w:numPr>
          <w:ilvl w:val="0"/>
          <w:numId w:val="2"/>
        </w:numPr>
        <w:spacing w:lineRule="auto" w:line="240" w:before="120" w:after="120"/>
        <w:ind w:left="720" w:right="120" w:hanging="360"/>
        <w:jc w:val="both"/>
        <w:rPr>
          <w:rFonts w:ascii="Calibri" w:hAnsi="Calibri" w:eastAsia="Calibri" w:cs="Calibri"/>
          <w:sz w:val="24"/>
          <w:szCs w:val="24"/>
        </w:rPr>
      </w:pPr>
      <w:r>
        <w:rPr>
          <w:rFonts w:eastAsia="Calibri" w:cs="Calibri" w:ascii="Calibri" w:hAnsi="Calibri"/>
          <w:sz w:val="24"/>
          <w:szCs w:val="24"/>
        </w:rPr>
        <w:t>PESSOA FÍSICA</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 xml:space="preserve">I - certidão negativa de débitos relativos a créditos tributários federais e Dívida Ativa da União (acesso em: </w:t>
      </w:r>
      <w:hyperlink r:id="rId4">
        <w:r>
          <w:rPr>
            <w:rFonts w:eastAsia="Calibri" w:cs="Calibri" w:ascii="Calibri" w:hAnsi="Calibri"/>
            <w:color w:val="1155CC"/>
            <w:sz w:val="24"/>
            <w:szCs w:val="24"/>
            <w:u w:val="single"/>
          </w:rPr>
          <w:t>https://servicos.receita.fazenda.gov.br/Servicos/certidaointernet/PF/Emitir</w:t>
        </w:r>
      </w:hyperlink>
      <w:r>
        <w:rPr>
          <w:rFonts w:eastAsia="Calibri" w:cs="Calibri" w:ascii="Calibri" w:hAnsi="Calibri"/>
          <w:sz w:val="24"/>
          <w:szCs w:val="24"/>
        </w:rPr>
        <w:t>;)</w:t>
      </w:r>
    </w:p>
    <w:p>
      <w:pPr>
        <w:pStyle w:val="Normal1"/>
        <w:spacing w:lineRule="auto" w:line="240" w:before="120" w:after="120"/>
        <w:ind w:left="141" w:right="120" w:hanging="0"/>
        <w:jc w:val="both"/>
        <w:rPr>
          <w:rFonts w:ascii="Calibri" w:hAnsi="Calibri" w:eastAsia="Calibri" w:cs="Calibri"/>
          <w:sz w:val="24"/>
          <w:szCs w:val="24"/>
        </w:rPr>
      </w:pPr>
      <w:r>
        <w:rPr>
          <w:rFonts w:eastAsia="Calibri" w:cs="Calibri" w:ascii="Calibri" w:hAnsi="Calibri"/>
          <w:sz w:val="24"/>
          <w:szCs w:val="24"/>
        </w:rPr>
        <w:t xml:space="preserve">II - certidão negativa de débitos estaduais (acesso em: </w:t>
      </w:r>
      <w:hyperlink r:id="rId5">
        <w:r>
          <w:rPr>
            <w:rFonts w:eastAsia="Calibri" w:cs="Calibri" w:ascii="Calibri" w:hAnsi="Calibri"/>
            <w:color w:val="1155CC"/>
            <w:sz w:val="24"/>
            <w:szCs w:val="24"/>
            <w:u w:val="single"/>
          </w:rPr>
          <w:t>https://internet-consultapublica.apps.sefaz.ce.gov.br/certidaonegativa/preparar-consultar</w:t>
        </w:r>
      </w:hyperlink>
      <w:r>
        <w:rPr>
          <w:rFonts w:eastAsia="Calibri" w:cs="Calibri" w:ascii="Calibri" w:hAnsi="Calibri"/>
          <w:sz w:val="24"/>
          <w:szCs w:val="24"/>
        </w:rPr>
        <w:t>);</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III - certidão negativa de débitos municipais (acesso no Setor de Tributos - Prefeitura Municipal de Massapê</w:t>
      </w:r>
      <w:r>
        <w:rPr>
          <w:rFonts w:eastAsia="Calibri" w:cs="Calibri" w:ascii="Calibri" w:hAnsi="Calibri"/>
          <w:color w:val="252525"/>
          <w:sz w:val="24"/>
          <w:szCs w:val="24"/>
        </w:rPr>
        <w:t>)</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 xml:space="preserve">IV - certidão negativa de débitos trabalhistas - CNDT, emitida no site do Tribunal Superior do Trabalho; (acesso em: </w:t>
      </w:r>
      <w:hyperlink r:id="rId6">
        <w:r>
          <w:rPr>
            <w:rFonts w:eastAsia="Calibri" w:cs="Calibri" w:ascii="Calibri" w:hAnsi="Calibri"/>
            <w:color w:val="1155CC"/>
            <w:sz w:val="24"/>
            <w:szCs w:val="24"/>
            <w:u w:val="single"/>
          </w:rPr>
          <w:t>https://cndt-certidao.tst.jus.br/inicio.faces;jsessionid=sja9rY0Osd_FvswCXUlId5YUzcGhPgR98Klzb8g2.cndt-certidao-19-xb6ph</w:t>
        </w:r>
      </w:hyperlink>
      <w:r>
        <w:rPr>
          <w:rFonts w:eastAsia="Calibri" w:cs="Calibri" w:ascii="Calibri" w:hAnsi="Calibri"/>
          <w:sz w:val="24"/>
          <w:szCs w:val="24"/>
        </w:rPr>
        <w:t>;</w:t>
      </w:r>
    </w:p>
    <w:p>
      <w:pPr>
        <w:pStyle w:val="Normal1"/>
        <w:numPr>
          <w:ilvl w:val="0"/>
          <w:numId w:val="2"/>
        </w:numPr>
        <w:spacing w:lineRule="auto" w:line="240" w:before="120" w:after="120"/>
        <w:ind w:left="720" w:right="120" w:hanging="360"/>
        <w:jc w:val="both"/>
        <w:rPr>
          <w:rFonts w:ascii="Calibri" w:hAnsi="Calibri" w:eastAsia="Calibri" w:cs="Calibri"/>
          <w:sz w:val="24"/>
          <w:szCs w:val="24"/>
        </w:rPr>
      </w:pPr>
      <w:r>
        <w:rPr>
          <w:rFonts w:eastAsia="Calibri" w:cs="Calibri" w:ascii="Calibri" w:hAnsi="Calibri"/>
          <w:sz w:val="24"/>
          <w:szCs w:val="24"/>
        </w:rPr>
        <w:t>PESSOA JURÍDICA (com ou sem fins lucrativos) e MEI</w:t>
      </w:r>
    </w:p>
    <w:p>
      <w:pPr>
        <w:pStyle w:val="Normal1"/>
        <w:spacing w:lineRule="auto" w:line="240" w:before="120" w:after="120"/>
        <w:ind w:left="141" w:right="120" w:hanging="0"/>
        <w:jc w:val="both"/>
        <w:rPr>
          <w:rFonts w:ascii="Calibri" w:hAnsi="Calibri" w:eastAsia="Calibri" w:cs="Calibri"/>
          <w:sz w:val="24"/>
          <w:szCs w:val="24"/>
        </w:rPr>
      </w:pPr>
      <w:r>
        <w:rPr>
          <w:rFonts w:eastAsia="Calibri" w:cs="Calibri" w:ascii="Calibri" w:hAnsi="Calibri"/>
          <w:sz w:val="24"/>
          <w:szCs w:val="24"/>
        </w:rPr>
        <w:t xml:space="preserve">I - certidão negativa de falência e recuperação judicial, expedida pelo Tribunal de Justiça estadual, nos casos de pessoas jurídicas com fins lucrativos; </w:t>
      </w:r>
    </w:p>
    <w:p>
      <w:pPr>
        <w:pStyle w:val="Normal1"/>
        <w:spacing w:lineRule="auto" w:line="240" w:before="120" w:after="120"/>
        <w:ind w:left="141" w:right="120" w:hanging="0"/>
        <w:jc w:val="both"/>
        <w:rPr>
          <w:rFonts w:ascii="Calibri" w:hAnsi="Calibri" w:eastAsia="Calibri" w:cs="Calibri"/>
          <w:sz w:val="24"/>
          <w:szCs w:val="24"/>
        </w:rPr>
      </w:pPr>
      <w:r>
        <w:rPr>
          <w:rFonts w:eastAsia="Calibri" w:cs="Calibri" w:ascii="Calibri" w:hAnsi="Calibri"/>
          <w:sz w:val="24"/>
          <w:szCs w:val="24"/>
        </w:rPr>
        <w:t xml:space="preserve">II - certidão negativa de débitos relativos a Créditos Tributários Federais e à Dívida Ativa da União; (acesso em: </w:t>
      </w:r>
      <w:hyperlink r:id="rId7">
        <w:r>
          <w:rPr>
            <w:rFonts w:eastAsia="Calibri" w:cs="Calibri" w:ascii="Calibri" w:hAnsi="Calibri"/>
            <w:color w:val="1155CC"/>
            <w:sz w:val="24"/>
            <w:szCs w:val="24"/>
            <w:u w:val="single"/>
          </w:rPr>
          <w:t>https://servicos.receita.fazenda.gov.br/Servicos/certidaointernet/PJ/Emitir</w:t>
        </w:r>
      </w:hyperlink>
      <w:r>
        <w:rPr>
          <w:rFonts w:eastAsia="Calibri" w:cs="Calibri" w:ascii="Calibri" w:hAnsi="Calibri"/>
          <w:sz w:val="24"/>
          <w:szCs w:val="24"/>
        </w:rPr>
        <w:t>)</w:t>
      </w:r>
    </w:p>
    <w:p>
      <w:pPr>
        <w:pStyle w:val="Normal1"/>
        <w:spacing w:lineRule="auto" w:line="240" w:before="120" w:after="120"/>
        <w:ind w:left="141" w:right="120" w:hanging="0"/>
        <w:jc w:val="both"/>
        <w:rPr>
          <w:rFonts w:ascii="Calibri" w:hAnsi="Calibri" w:eastAsia="Calibri" w:cs="Calibri"/>
          <w:sz w:val="24"/>
          <w:szCs w:val="24"/>
        </w:rPr>
      </w:pPr>
      <w:r>
        <w:rPr>
          <w:rFonts w:eastAsia="Calibri" w:cs="Calibri" w:ascii="Calibri" w:hAnsi="Calibri"/>
          <w:sz w:val="24"/>
          <w:szCs w:val="24"/>
        </w:rPr>
        <w:t xml:space="preserve">III - certidões negativas de débitos estaduais (acesso em: </w:t>
      </w:r>
      <w:hyperlink r:id="rId8">
        <w:r>
          <w:rPr>
            <w:rFonts w:eastAsia="Calibri" w:cs="Calibri" w:ascii="Calibri" w:hAnsi="Calibri"/>
            <w:color w:val="1155CC"/>
            <w:sz w:val="24"/>
            <w:szCs w:val="24"/>
            <w:u w:val="single"/>
          </w:rPr>
          <w:t>https://internet-consultapublica.apps.sefaz.ce.gov.br/certidaonegativa/preparar-consultar</w:t>
        </w:r>
      </w:hyperlink>
      <w:r>
        <w:rPr>
          <w:rFonts w:eastAsia="Calibri" w:cs="Calibri" w:ascii="Calibri" w:hAnsi="Calibri"/>
          <w:sz w:val="24"/>
          <w:szCs w:val="24"/>
        </w:rPr>
        <w:t>)</w:t>
      </w:r>
    </w:p>
    <w:p>
      <w:pPr>
        <w:pStyle w:val="Normal1"/>
        <w:spacing w:lineRule="auto" w:line="240" w:before="120" w:after="120"/>
        <w:ind w:left="141" w:right="120" w:hanging="0"/>
        <w:jc w:val="both"/>
        <w:rPr>
          <w:rFonts w:ascii="Calibri" w:hAnsi="Calibri" w:eastAsia="Calibri" w:cs="Calibri"/>
          <w:sz w:val="24"/>
          <w:szCs w:val="24"/>
        </w:rPr>
      </w:pPr>
      <w:r>
        <w:rPr>
          <w:rFonts w:eastAsia="Calibri" w:cs="Calibri" w:ascii="Calibri" w:hAnsi="Calibri"/>
          <w:sz w:val="24"/>
          <w:szCs w:val="24"/>
        </w:rPr>
        <w:t>IV - certidões negativas de débitos municipais (acesso no Setor de Tributos - Prefeitura Municipal de Massapê)</w:t>
      </w:r>
    </w:p>
    <w:p>
      <w:pPr>
        <w:pStyle w:val="Normal1"/>
        <w:spacing w:lineRule="auto" w:line="240" w:before="120" w:after="120"/>
        <w:ind w:left="141" w:right="120" w:hanging="0"/>
        <w:jc w:val="both"/>
        <w:rPr>
          <w:rFonts w:ascii="Calibri" w:hAnsi="Calibri" w:eastAsia="Calibri" w:cs="Calibri"/>
          <w:sz w:val="24"/>
          <w:szCs w:val="24"/>
        </w:rPr>
      </w:pPr>
      <w:r>
        <w:rPr>
          <w:rFonts w:eastAsia="Calibri" w:cs="Calibri" w:ascii="Calibri" w:hAnsi="Calibri"/>
          <w:sz w:val="24"/>
          <w:szCs w:val="24"/>
        </w:rPr>
        <w:t xml:space="preserve">V - certificado de regularidade do Fundo de Garantia do Tempo de Serviço - CRF/FGTS (acesso em </w:t>
      </w:r>
      <w:hyperlink r:id="rId9">
        <w:r>
          <w:rPr>
            <w:rFonts w:eastAsia="Calibri" w:cs="Calibri" w:ascii="Calibri" w:hAnsi="Calibri"/>
            <w:color w:val="1155CC"/>
            <w:sz w:val="24"/>
            <w:szCs w:val="24"/>
            <w:u w:val="single"/>
          </w:rPr>
          <w:t>https://consulta-crf.caixa.gov.br/consultacrf/pages/consultaEmpregador.jsf</w:t>
        </w:r>
      </w:hyperlink>
      <w:r>
        <w:rPr>
          <w:rFonts w:eastAsia="Calibri" w:cs="Calibri" w:ascii="Calibri" w:hAnsi="Calibri"/>
          <w:sz w:val="24"/>
          <w:szCs w:val="24"/>
        </w:rPr>
        <w:t>)</w:t>
      </w:r>
    </w:p>
    <w:p>
      <w:pPr>
        <w:pStyle w:val="Normal1"/>
        <w:spacing w:lineRule="auto" w:line="240" w:before="120" w:after="120"/>
        <w:ind w:left="141" w:right="120" w:hanging="0"/>
        <w:jc w:val="both"/>
        <w:rPr>
          <w:rFonts w:ascii="Calibri" w:hAnsi="Calibri" w:eastAsia="Calibri" w:cs="Calibri"/>
          <w:sz w:val="24"/>
          <w:szCs w:val="24"/>
        </w:rPr>
      </w:pPr>
      <w:r>
        <w:rPr>
          <w:rFonts w:eastAsia="Calibri" w:cs="Calibri" w:ascii="Calibri" w:hAnsi="Calibri"/>
          <w:sz w:val="24"/>
          <w:szCs w:val="24"/>
        </w:rPr>
        <w:t xml:space="preserve">VI - certidão negativa de débitos trabalhistas - CNDT, emitida no site do Tribunal Superior do Trabalho (acesso em: </w:t>
      </w:r>
      <w:hyperlink r:id="rId10">
        <w:r>
          <w:rPr>
            <w:rFonts w:eastAsia="Calibri" w:cs="Calibri" w:ascii="Calibri" w:hAnsi="Calibri"/>
            <w:color w:val="1155CC"/>
            <w:sz w:val="24"/>
            <w:szCs w:val="24"/>
            <w:u w:val="single"/>
          </w:rPr>
          <w:t>https://cndt-certidao.tst.jus.br/inicio.faces;jsessionid=sja9rY0Osd_FvswCXUlId5YUzcGhPgR98Klzb8g2.cndt-certidao-19-xb6ph</w:t>
        </w:r>
      </w:hyperlink>
      <w:r>
        <w:rPr>
          <w:rFonts w:eastAsia="Calibri" w:cs="Calibri" w:ascii="Calibri" w:hAnsi="Calibri"/>
          <w:sz w:val="24"/>
          <w:szCs w:val="24"/>
        </w:rPr>
        <w:t>;</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13.1.2.1. As certidões positivas com efeito de negativas servirão como certidões negativas, desde que não haja referência expressa de impossibilidade de celebrar instrumentos jurídicos com a administração pública.</w:t>
      </w:r>
    </w:p>
    <w:p>
      <w:pPr>
        <w:pStyle w:val="Normal1"/>
        <w:spacing w:lineRule="auto" w:line="240" w:before="120" w:after="120"/>
        <w:ind w:left="0" w:right="120" w:hanging="0"/>
        <w:jc w:val="both"/>
        <w:rPr>
          <w:rFonts w:ascii="Calibri" w:hAnsi="Calibri" w:eastAsia="Calibri" w:cs="Calibri"/>
          <w:sz w:val="24"/>
          <w:szCs w:val="24"/>
        </w:rPr>
      </w:pPr>
      <w:bookmarkStart w:id="4" w:name="_1fob9te"/>
      <w:bookmarkEnd w:id="4"/>
      <w:r>
        <w:rPr>
          <w:rFonts w:eastAsia="Calibri" w:cs="Calibri" w:ascii="Calibri" w:hAnsi="Calibri"/>
          <w:sz w:val="24"/>
          <w:szCs w:val="24"/>
        </w:rPr>
        <w:t>13.2. O agente cultural deve responder à convocação e assinar o Termo de Execução Cultural (devendo, para tanto, haver sido verificada sua situação de regularidade, conforme item anterior) no prazo de até 3 (três) dias úteis após a convocação, sob pena de perda do apoio financeiro e convocação do suplente para assumir sua vaga.</w:t>
      </w:r>
    </w:p>
    <w:p>
      <w:pPr>
        <w:pStyle w:val="Normal1"/>
        <w:spacing w:lineRule="auto" w:line="240" w:before="120" w:after="120"/>
        <w:ind w:left="0" w:right="120" w:hanging="0"/>
        <w:jc w:val="both"/>
        <w:rPr>
          <w:rFonts w:ascii="Calibri" w:hAnsi="Calibri" w:eastAsia="Calibri" w:cs="Calibri"/>
          <w:color w:val="FF0000"/>
          <w:sz w:val="24"/>
          <w:szCs w:val="24"/>
        </w:rPr>
      </w:pPr>
      <w:r>
        <w:rPr>
          <w:rFonts w:eastAsia="Calibri" w:cs="Calibri" w:ascii="Calibri" w:hAnsi="Calibri"/>
          <w:sz w:val="24"/>
          <w:szCs w:val="24"/>
        </w:rPr>
        <w:t>13.3. Após a assinatura do Termo de Execução Cultural, o agente cultural receberá os recursos na conta bancária específica, em parcela única.</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13.4. A assinatura do Termo de Execução Cultural e o recebimento do apoio estão condicionados à existência de disponibilidade orçamentária e financeira, caracterizando a seleção como expectativa de direito do proponente.  </w:t>
      </w:r>
    </w:p>
    <w:p>
      <w:pPr>
        <w:pStyle w:val="Normal1"/>
        <w:spacing w:lineRule="auto" w:line="240" w:before="120" w:after="120"/>
        <w:ind w:left="120"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b/>
          <w:sz w:val="24"/>
          <w:szCs w:val="24"/>
        </w:rPr>
        <w:t>14. DIVULGAÇÃO DOS PROJETOS</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14.1. Os projetos selecionados deverão, obrigatoriamente, fazer constar o brasão da Prefeitura Municipal de MASSAPÊ e do Governo Federal, por meio do Ministério da Cultura, em todas as peças publicitárias de divulgação, de acordo com os padrões de identidade visual fornecidos pela Assessoria de Comunicação do Município de MASSAPÊ;</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14.1.1. O referido apoio também deve ser citado ou creditado pelo proponente selecionado em todos os canais de comunicação, redes sociais e nas plataformas em que o conteúdo selecionado esteja divulgado ou em outros espaços em que o projeto seja abordado.</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14.1.2. </w:t>
      </w:r>
      <w:r>
        <w:rPr>
          <w:rFonts w:eastAsia="Calibri" w:cs="Calibri" w:ascii="Calibri" w:hAnsi="Calibri"/>
          <w:sz w:val="24"/>
          <w:szCs w:val="24"/>
          <w:highlight w:val="white"/>
        </w:rPr>
        <w:t>Deverão ser incluídos em todas as peças de divulgação os seguintes dizeres: “PROJETO APOIADO COM RECURSOS DA LEI COMPLEMENTAR Nº 195/2022 - LEI PAULO GUSTAVO - POR MEIO DA SECRETARIA DE JUVENTUDE, DESPORTO, CULTURA, TURISMO E LAZER DE MASSAPÊ”.</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14.2. O material de divulgação dos projetos e seus produtos deverá ser disponibilizado em formatos acessíveis a pessoas com deficiência e conter informações sobre os recursos de acessibilidade disponibilizados.</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14.3. O material de divulgação dos projetos deve ter caráter educativo, informativo ou de orientação social, e não pode conter nomes, símbolos ou imagens que caracterizem promoção pessoal.</w:t>
      </w:r>
    </w:p>
    <w:p>
      <w:pPr>
        <w:pStyle w:val="Normal1"/>
        <w:spacing w:lineRule="auto" w:line="240" w:before="120" w:after="120"/>
        <w:ind w:left="120"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b/>
          <w:sz w:val="24"/>
          <w:szCs w:val="24"/>
        </w:rPr>
        <w:t>15. MONITORAMENTO E PRESTAÇÃO DE CONTAS</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15.1. Os procedimentos de monitoramento e avaliação dos projetos culturais contemplados, assim como prestação de informação à administração pública, observarão o Decreto nº 11.453/2023 (Decreto de Fomento), que dispõe sobre os mecanismos de fomento do sistema de financiamento à cultura, observadas às exigências legais de simplificação e de foco no cumprimento do objeto.</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15.2. O agente cultural deve prestar contas por meio da apresentação do Relatório de Execução do Objeto, conforme documento constante no Anexo VII. O Relatório de Execução do Objeto deve ser apresentado em até 30 (trinta) dias a contar do fim da vigência do Termo de Execução Cultural.</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15.2.1. O Relatório de Execução do Objeto deverá conter relato das atividades realizadas, podendo a comprovação sobre os produtos e serviços relativos aos objetivos se dar pela apresentação de fotos, listas de presença, vídeos, entre outros.</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15.2.2. A análise do Relatório de Execução do Objeto dos projetos apoiados deverá considerar a verdade real e os resultados alcançados, priorizando sempre o controle de resultados sobre a consecução da finalidade pública a qual o recurso se destina.</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15.3. Quando não estiver comprovado o cumprimento do objeto ou quando for recebida denúncia de irregularidade na execução da ação cultural, devidamente avaliada, o Município exigirá relatório de execução financeira, a ser enviado no prazo de até 60 (sessenta) dias, acompanhado de todos os documentos de comprovação pertinentes.</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15.4. Quando a prestação de contas for avaliada como irregular, após exaurida a fase recursal, se mantida a decisão, o agente cultural poderá solicitar autorização para que o ressarcimento ao erário seja promovido por meio de ações compensatórias, mediante a apresentação de plano de ações compensatórias, conforme área de atuação cuja mensuração econômica será feita a partir dos valores usualmente praticados no mercado, desde que não tenha havido dolo ou fraude e não seja o caso de restituição integral dos recursos.</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15.5. Os contemplados deverão manter a documentação apresentada pelo prazo de 5 (cinco) anos em meio físico ou digital.</w:t>
      </w:r>
    </w:p>
    <w:p>
      <w:pPr>
        <w:pStyle w:val="Normal1"/>
        <w:spacing w:lineRule="auto" w:line="240" w:before="120" w:after="120"/>
        <w:ind w:left="120"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b/>
          <w:sz w:val="24"/>
          <w:szCs w:val="24"/>
        </w:rPr>
        <w:t>16. REMANEJAMENTO DOS RECURSOS</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16.1. Em caso de não haver habilitados suficientes ou classificados, valores poderão ser remanejados para outros editais, desde que para a mesma finalidade de contribuir com ações emergenciais destinadas ao setor audiovisual.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16.1.1. Não havendo habilitados ou classificados em outros editais de setor audiovisual, estes poderão ser remanejados para outros editais destinados a ações emergenciais para o setor cultural de forma geral, observada a legislação aplicável.</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16.2. Caso alguma categoria não tenha todas as vagas preenchidas, os recursos que seriam inicialmente desta categoria poderão ser remanejados para outra categoria.</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16.3. Em caso de haver saldos remanescentes após o final das ações previstas para o Município, em havendo projetos classificáveis, estes poderão ser convocados como suplentes posteriormente, desde que obedecida a ordem de pontuação, conforme critérios deste edital.</w:t>
      </w:r>
    </w:p>
    <w:p>
      <w:pPr>
        <w:pStyle w:val="Normal1"/>
        <w:spacing w:lineRule="auto" w:line="240" w:before="120" w:after="120"/>
        <w:ind w:left="0"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left="0" w:right="120" w:hanging="0"/>
        <w:jc w:val="both"/>
        <w:rPr>
          <w:rFonts w:ascii="Calibri" w:hAnsi="Calibri" w:eastAsia="Calibri" w:cs="Calibri"/>
          <w:b/>
          <w:b/>
          <w:sz w:val="24"/>
          <w:szCs w:val="24"/>
        </w:rPr>
      </w:pPr>
      <w:r>
        <w:rPr>
          <w:rFonts w:eastAsia="Calibri" w:cs="Calibri" w:ascii="Calibri" w:hAnsi="Calibri"/>
          <w:b/>
          <w:sz w:val="24"/>
          <w:szCs w:val="24"/>
        </w:rPr>
        <w:t>17. CRONOGRAMA DO EDITAL</w:t>
      </w:r>
    </w:p>
    <w:p>
      <w:pPr>
        <w:pStyle w:val="Normal1"/>
        <w:spacing w:lineRule="auto" w:line="240" w:before="120" w:after="120"/>
        <w:ind w:left="0"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17.1. O Edital observará o seguinte cronograma, podendo haver alterações de acordo com a necessidade da Secretaria de Juventude, Desporto, Cultura, Turismo e Lazer de Massapê, mediante comunicação aos interessados.</w:t>
      </w:r>
    </w:p>
    <w:p>
      <w:pPr>
        <w:pStyle w:val="Normal1"/>
        <w:spacing w:lineRule="auto" w:line="276" w:before="120" w:after="0"/>
        <w:ind w:left="420" w:right="20" w:hanging="0"/>
        <w:jc w:val="both"/>
        <w:rPr>
          <w:rFonts w:ascii="Calibri" w:hAnsi="Calibri" w:eastAsia="Calibri" w:cs="Calibri"/>
          <w:sz w:val="24"/>
          <w:szCs w:val="24"/>
        </w:rPr>
      </w:pPr>
      <w:r>
        <w:rPr>
          <w:rFonts w:eastAsia="Calibri" w:cs="Calibri" w:ascii="Calibri" w:hAnsi="Calibri"/>
          <w:sz w:val="24"/>
          <w:szCs w:val="24"/>
        </w:rPr>
      </w:r>
    </w:p>
    <w:tbl>
      <w:tblPr>
        <w:tblStyle w:val="Table3"/>
        <w:tblW w:w="8655" w:type="dxa"/>
        <w:jc w:val="left"/>
        <w:tblInd w:w="0" w:type="dxa"/>
        <w:tblLayout w:type="fixed"/>
        <w:tblCellMar>
          <w:top w:w="100" w:type="dxa"/>
          <w:left w:w="100" w:type="dxa"/>
          <w:bottom w:w="100" w:type="dxa"/>
          <w:right w:w="100" w:type="dxa"/>
        </w:tblCellMar>
        <w:tblLook w:val="0600"/>
      </w:tblPr>
      <w:tblGrid>
        <w:gridCol w:w="3599"/>
        <w:gridCol w:w="2790"/>
        <w:gridCol w:w="2266"/>
      </w:tblGrid>
      <w:tr>
        <w:trPr>
          <w:trHeight w:val="510" w:hRule="atLeast"/>
        </w:trPr>
        <w:tc>
          <w:tcPr>
            <w:tcW w:w="3599" w:type="dxa"/>
            <w:tcBorders>
              <w:top w:val="single" w:sz="8" w:space="0" w:color="000000"/>
              <w:left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sz w:val="24"/>
                <w:szCs w:val="24"/>
              </w:rPr>
            </w:pPr>
            <w:r>
              <w:rPr>
                <w:rFonts w:eastAsia="Calibri" w:cs="Calibri" w:ascii="Calibri" w:hAnsi="Calibri"/>
                <w:b/>
                <w:sz w:val="24"/>
                <w:szCs w:val="24"/>
              </w:rPr>
              <w:t>ETAPA</w:t>
            </w:r>
          </w:p>
        </w:tc>
        <w:tc>
          <w:tcPr>
            <w:tcW w:w="2790" w:type="dxa"/>
            <w:tcBorders>
              <w:top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sz w:val="24"/>
                <w:szCs w:val="24"/>
              </w:rPr>
            </w:pPr>
            <w:r>
              <w:rPr>
                <w:rFonts w:eastAsia="Calibri" w:cs="Calibri" w:ascii="Calibri" w:hAnsi="Calibri"/>
                <w:b/>
                <w:sz w:val="24"/>
                <w:szCs w:val="24"/>
              </w:rPr>
              <w:t>DATA INICIAL</w:t>
            </w:r>
          </w:p>
        </w:tc>
        <w:tc>
          <w:tcPr>
            <w:tcW w:w="2266" w:type="dxa"/>
            <w:tcBorders>
              <w:top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sz w:val="24"/>
                <w:szCs w:val="24"/>
              </w:rPr>
            </w:pPr>
            <w:r>
              <w:rPr>
                <w:rFonts w:eastAsia="Calibri" w:cs="Calibri" w:ascii="Calibri" w:hAnsi="Calibri"/>
                <w:b/>
                <w:sz w:val="24"/>
                <w:szCs w:val="24"/>
              </w:rPr>
              <w:t>DATA FINAL</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Inscrições dos projetos</w:t>
            </w:r>
          </w:p>
        </w:tc>
        <w:tc>
          <w:tcPr>
            <w:tcW w:w="2790"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13/09/2023</w:t>
            </w:r>
          </w:p>
        </w:tc>
        <w:tc>
          <w:tcPr>
            <w:tcW w:w="2266"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13/10/2023</w:t>
            </w:r>
          </w:p>
        </w:tc>
      </w:tr>
      <w:tr>
        <w:trPr>
          <w:trHeight w:val="1537"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Resultado preliminar, habilitação das inscrições, avaliação e seleção das propostas</w:t>
            </w:r>
          </w:p>
        </w:tc>
        <w:tc>
          <w:tcPr>
            <w:tcW w:w="505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center"/>
              <w:rPr>
                <w:rFonts w:ascii="Calibri" w:hAnsi="Calibri" w:eastAsia="Calibri" w:cs="Calibri"/>
                <w:sz w:val="24"/>
                <w:szCs w:val="24"/>
              </w:rPr>
            </w:pPr>
            <w:r>
              <w:rPr>
                <w:rFonts w:eastAsia="Calibri" w:cs="Calibri" w:ascii="Calibri" w:hAnsi="Calibri"/>
                <w:sz w:val="24"/>
                <w:szCs w:val="24"/>
              </w:rPr>
            </w:r>
          </w:p>
          <w:p>
            <w:pPr>
              <w:pStyle w:val="Normal1"/>
              <w:widowControl w:val="false"/>
              <w:spacing w:lineRule="auto" w:line="276"/>
              <w:ind w:left="520" w:hanging="0"/>
              <w:jc w:val="center"/>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23/10/2023</w:t>
            </w:r>
          </w:p>
          <w:p>
            <w:pPr>
              <w:pStyle w:val="Normal1"/>
              <w:widowControl w:val="false"/>
              <w:spacing w:lineRule="auto" w:line="276"/>
              <w:ind w:left="520" w:hanging="0"/>
              <w:jc w:val="center"/>
              <w:rPr>
                <w:rFonts w:ascii="Calibri" w:hAnsi="Calibri" w:eastAsia="Calibri" w:cs="Calibri"/>
                <w:sz w:val="24"/>
                <w:szCs w:val="24"/>
              </w:rPr>
            </w:pPr>
            <w:r>
              <w:rPr>
                <w:rFonts w:eastAsia="Calibri" w:cs="Calibri" w:ascii="Calibri" w:hAnsi="Calibri"/>
                <w:sz w:val="24"/>
                <w:szCs w:val="24"/>
              </w:rPr>
              <w:t xml:space="preserve"> </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Período de recursos</w:t>
            </w:r>
          </w:p>
        </w:tc>
        <w:tc>
          <w:tcPr>
            <w:tcW w:w="2790"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24/10/2023</w:t>
            </w:r>
          </w:p>
        </w:tc>
        <w:tc>
          <w:tcPr>
            <w:tcW w:w="2266"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26/10/2023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Resultado Final</w:t>
            </w:r>
          </w:p>
        </w:tc>
        <w:tc>
          <w:tcPr>
            <w:tcW w:w="505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center"/>
              <w:rPr>
                <w:rFonts w:ascii="Calibri" w:hAnsi="Calibri" w:eastAsia="Calibri" w:cs="Calibri"/>
                <w:sz w:val="24"/>
                <w:szCs w:val="24"/>
              </w:rPr>
            </w:pPr>
            <w:r>
              <w:rPr>
                <w:rFonts w:eastAsia="Calibri" w:cs="Calibri" w:ascii="Calibri" w:hAnsi="Calibri"/>
                <w:sz w:val="24"/>
                <w:szCs w:val="24"/>
              </w:rPr>
              <w:t>27/10/2023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Repasse do recurso</w:t>
            </w:r>
          </w:p>
        </w:tc>
        <w:tc>
          <w:tcPr>
            <w:tcW w:w="2790"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31/10/2023</w:t>
            </w:r>
          </w:p>
        </w:tc>
        <w:tc>
          <w:tcPr>
            <w:tcW w:w="2266"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20/12/2023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Período de execução das propostas</w:t>
            </w:r>
          </w:p>
        </w:tc>
        <w:tc>
          <w:tcPr>
            <w:tcW w:w="2790"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31/10/2023</w:t>
            </w:r>
          </w:p>
        </w:tc>
        <w:tc>
          <w:tcPr>
            <w:tcW w:w="2266"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20/06/2024</w:t>
            </w:r>
          </w:p>
        </w:tc>
      </w:tr>
      <w:tr>
        <w:trPr>
          <w:trHeight w:val="795"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Entrega dos relatórios de execução das propostas</w:t>
            </w:r>
          </w:p>
        </w:tc>
        <w:tc>
          <w:tcPr>
            <w:tcW w:w="505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 xml:space="preserve"> </w:t>
            </w:r>
          </w:p>
          <w:p>
            <w:pPr>
              <w:pStyle w:val="Normal1"/>
              <w:widowControl w:val="false"/>
              <w:spacing w:lineRule="auto" w:line="276"/>
              <w:ind w:left="520" w:hanging="0"/>
              <w:jc w:val="center"/>
              <w:rPr>
                <w:rFonts w:ascii="Calibri" w:hAnsi="Calibri" w:eastAsia="Calibri" w:cs="Calibri"/>
                <w:sz w:val="24"/>
                <w:szCs w:val="24"/>
              </w:rPr>
            </w:pPr>
            <w:r>
              <w:rPr>
                <w:rFonts w:eastAsia="Calibri" w:cs="Calibri" w:ascii="Calibri" w:hAnsi="Calibri"/>
                <w:sz w:val="24"/>
                <w:szCs w:val="24"/>
              </w:rPr>
              <w:t>até 20/07/2024</w:t>
            </w:r>
          </w:p>
        </w:tc>
      </w:tr>
    </w:tbl>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b/>
          <w:sz w:val="24"/>
          <w:szCs w:val="24"/>
        </w:rPr>
        <w:t>18. DISPOSIÇÕES FINAIS</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18.1 O acompanhamento de todas as etapas deste Edital e a observância quanto aos prazos serão de inteira responsabilidade dos proponentes. </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18.2. Orienta-se que todos os projetos culturais observem em suas propostas à equidade de gênero, visando o enfrentamento de estereótipos no exercício da cultura, atentando para as dimensões de identidade de gênero, raça, etnia, orientação sexual, local de moradia, trabalho, classe social, deficiência, geracional e das mulheres. </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18.3 Os casos omissos neste Edital serão decididos pela Comissão de Seleção, em primeira instância ou, em caso de impasse, pelo(a) Secretário(a) da Secretaria Municipal da Juventude, Desporto, Cultura, Turismo e Lazer de Massapê/CE.</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18.4 Eventuais irregularidades relacionadas aos requisitos de participação, constatadas a qualquer tempo, implicarão na desclassificação do proponente. </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18.5. Os direitos patrimoniais, autorais e de imagem e licenciamento de tecnologias produzidos no âmbito dos projetos apoiados serão de responsabilidade dos autores envolvidos.</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18.6. O Município de Massapê/CE e a Comissão de Avaliação e Seleção ficam isentas de responsabilidades sobre fatos decorrentes do uso indevido ou sem autorização de imagens e/ou obras de terceiros, respondendo por isso, exclusivamente, o proponente do projeto, nos termos da legislação específica.</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18.7. O proponente cede à Secretaria de Juventude, Desporto, Cultura, Turismo e Lazer do Município de Massapê, por período máximo permitido em Lei, direitos de exibição para realizar ações públicas gratuitas de divulgação e acesso aos resultados obtidos pelos projetos contemplados com livre uso de imagens, para fins de difusão cultural, por meio digital ou físico, preservando-se sempre os direitos autorais morais do devido crédito ao autor. </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18.8. A eventual revogação deste Edital por motivos de interesse público ou sua anulação no todo ou em parte não implicará direito à indenização ou reclamação de qualquer natureza.</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18.9. O proponente será o único responsável pela veracidade da proposta e documentos encaminhados, isentando a Secretaria e o Município de Massapê/CE de qualquer responsabilidade civil ou penal. </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18.10. O apoio concedido por meio deste Edital poderá ser acumulado com recursos captados por meio de leis de incentivo fiscal e outros programas e/ou apoios federais, estaduais e municipais.</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18.11 A inscrição implica no conhecimento e concordância dos termos e condições previstos neste Edital, na Lei Complementar  195/2022 (Lei Paulo Gustavo), no Decreto 11.525/2023 (Decreto Paulo Gustavo) e no Decreto 11.453/2023 (Decreto de Fomento).</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18.12 O resultado do chamamento público regido por este Edital terá validade até 20 de dezembro de 2023.</w:t>
      </w:r>
    </w:p>
    <w:p>
      <w:pPr>
        <w:pStyle w:val="Normal1"/>
        <w:spacing w:lineRule="auto" w:line="240" w:before="120" w:after="120"/>
        <w:ind w:left="0" w:right="120" w:hanging="0"/>
        <w:jc w:val="right"/>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left="0" w:right="120" w:hanging="0"/>
        <w:jc w:val="right"/>
        <w:rPr>
          <w:rFonts w:ascii="Calibri" w:hAnsi="Calibri" w:eastAsia="Calibri" w:cs="Calibri"/>
          <w:sz w:val="24"/>
          <w:szCs w:val="24"/>
        </w:rPr>
      </w:pPr>
      <w:r>
        <w:rPr>
          <w:rFonts w:eastAsia="Calibri" w:cs="Calibri" w:ascii="Calibri" w:hAnsi="Calibri"/>
          <w:sz w:val="24"/>
          <w:szCs w:val="24"/>
        </w:rPr>
        <w:t>Massapê/CE, 13 de setembro de 2023.</w:t>
      </w:r>
    </w:p>
    <w:p>
      <w:pPr>
        <w:pStyle w:val="Normal1"/>
        <w:spacing w:lineRule="auto" w:line="240" w:before="120" w:after="0"/>
        <w:ind w:left="360" w:right="140" w:hanging="0"/>
        <w:jc w:val="center"/>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0"/>
        <w:ind w:left="360" w:right="140" w:hanging="0"/>
        <w:jc w:val="center"/>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0"/>
        <w:ind w:left="360" w:right="140" w:hanging="0"/>
        <w:jc w:val="center"/>
        <w:rPr>
          <w:rFonts w:ascii="Calibri" w:hAnsi="Calibri" w:eastAsia="Calibri" w:cs="Calibri"/>
          <w:b/>
          <w:b/>
          <w:sz w:val="24"/>
          <w:szCs w:val="24"/>
        </w:rPr>
      </w:pPr>
      <w:r>
        <w:rPr>
          <w:rFonts w:eastAsia="Calibri" w:cs="Calibri" w:ascii="Calibri" w:hAnsi="Calibri"/>
          <w:b/>
          <w:sz w:val="24"/>
          <w:szCs w:val="24"/>
        </w:rPr>
        <w:t>FRANCISCO VAGNER SEVERIANO ROCHA</w:t>
      </w:r>
    </w:p>
    <w:p>
      <w:pPr>
        <w:pStyle w:val="Normal1"/>
        <w:spacing w:lineRule="auto" w:line="240" w:before="120" w:after="0"/>
        <w:ind w:left="360" w:right="140" w:hanging="0"/>
        <w:jc w:val="center"/>
        <w:rPr>
          <w:rFonts w:ascii="Calibri" w:hAnsi="Calibri" w:eastAsia="Calibri" w:cs="Calibri"/>
          <w:sz w:val="24"/>
          <w:szCs w:val="24"/>
        </w:rPr>
      </w:pPr>
      <w:r>
        <w:rPr>
          <w:rFonts w:eastAsia="Calibri" w:cs="Calibri" w:ascii="Calibri" w:hAnsi="Calibri"/>
          <w:sz w:val="24"/>
          <w:szCs w:val="24"/>
        </w:rPr>
        <w:t>Secretário da Juventude, Desporto, Cultura, Turismo e Lazer de Massapê/CE</w:t>
      </w:r>
    </w:p>
    <w:p>
      <w:pPr>
        <w:pStyle w:val="Normal1"/>
        <w:spacing w:lineRule="auto" w:line="276" w:before="240" w:after="240"/>
        <w:jc w:val="center"/>
        <w:rPr>
          <w:rFonts w:ascii="Calibri" w:hAnsi="Calibri" w:eastAsia="Calibri" w:cs="Calibri"/>
          <w:b/>
          <w:b/>
          <w:sz w:val="24"/>
          <w:szCs w:val="24"/>
        </w:rPr>
      </w:pPr>
      <w:r>
        <w:rPr>
          <w:rFonts w:eastAsia="Calibri" w:cs="Calibri" w:ascii="Calibri" w:hAnsi="Calibri"/>
          <w:b/>
          <w:sz w:val="24"/>
          <w:szCs w:val="24"/>
        </w:rPr>
      </w:r>
    </w:p>
    <w:p>
      <w:pPr>
        <w:pStyle w:val="Normal1"/>
        <w:spacing w:lineRule="auto" w:line="276" w:before="240" w:after="240"/>
        <w:jc w:val="center"/>
        <w:rPr>
          <w:rFonts w:ascii="Calibri" w:hAnsi="Calibri" w:eastAsia="Calibri" w:cs="Calibri"/>
          <w:b/>
          <w:b/>
          <w:sz w:val="24"/>
          <w:szCs w:val="24"/>
        </w:rPr>
      </w:pPr>
      <w:r>
        <w:rPr>
          <w:rFonts w:eastAsia="Calibri" w:cs="Calibri" w:ascii="Calibri" w:hAnsi="Calibri"/>
          <w:b/>
          <w:sz w:val="24"/>
          <w:szCs w:val="24"/>
        </w:rPr>
      </w:r>
    </w:p>
    <w:p>
      <w:pPr>
        <w:pStyle w:val="Normal1"/>
        <w:spacing w:lineRule="auto" w:line="276" w:before="240" w:after="240"/>
        <w:jc w:val="center"/>
        <w:rPr>
          <w:rFonts w:ascii="Calibri" w:hAnsi="Calibri" w:eastAsia="Calibri" w:cs="Calibri"/>
          <w:b/>
          <w:b/>
          <w:sz w:val="24"/>
          <w:szCs w:val="24"/>
        </w:rPr>
      </w:pPr>
      <w:r>
        <w:rPr>
          <w:rFonts w:eastAsia="Calibri" w:cs="Calibri" w:ascii="Calibri" w:hAnsi="Calibri"/>
          <w:b/>
          <w:sz w:val="24"/>
          <w:szCs w:val="24"/>
        </w:rPr>
      </w:r>
    </w:p>
    <w:p>
      <w:pPr>
        <w:pStyle w:val="Normal1"/>
        <w:spacing w:lineRule="auto" w:line="276" w:before="240" w:after="240"/>
        <w:jc w:val="center"/>
        <w:rPr>
          <w:rFonts w:ascii="Calibri" w:hAnsi="Calibri" w:eastAsia="Calibri" w:cs="Calibri"/>
          <w:b/>
          <w:b/>
          <w:sz w:val="24"/>
          <w:szCs w:val="24"/>
        </w:rPr>
      </w:pPr>
      <w:r>
        <w:rPr>
          <w:rFonts w:eastAsia="Calibri" w:cs="Calibri" w:ascii="Calibri" w:hAnsi="Calibri"/>
          <w:b/>
          <w:sz w:val="24"/>
          <w:szCs w:val="24"/>
        </w:rPr>
      </w:r>
    </w:p>
    <w:p>
      <w:pPr>
        <w:pStyle w:val="Normal1"/>
        <w:spacing w:lineRule="auto" w:line="276" w:before="240" w:after="240"/>
        <w:jc w:val="center"/>
        <w:rPr>
          <w:rFonts w:ascii="Calibri" w:hAnsi="Calibri" w:eastAsia="Calibri" w:cs="Calibri"/>
          <w:b/>
          <w:b/>
          <w:sz w:val="24"/>
          <w:szCs w:val="24"/>
        </w:rPr>
      </w:pPr>
      <w:r>
        <w:rPr>
          <w:rFonts w:eastAsia="Calibri" w:cs="Calibri" w:ascii="Calibri" w:hAnsi="Calibri"/>
          <w:b/>
          <w:sz w:val="24"/>
          <w:szCs w:val="24"/>
        </w:rPr>
      </w:r>
    </w:p>
    <w:p>
      <w:pPr>
        <w:pStyle w:val="Normal1"/>
        <w:spacing w:lineRule="auto" w:line="276" w:before="240" w:after="240"/>
        <w:jc w:val="center"/>
        <w:rPr>
          <w:rFonts w:ascii="Calibri" w:hAnsi="Calibri" w:eastAsia="Calibri" w:cs="Calibri"/>
          <w:b/>
          <w:b/>
          <w:sz w:val="24"/>
          <w:szCs w:val="24"/>
        </w:rPr>
      </w:pPr>
      <w:r>
        <w:rPr/>
      </w:r>
    </w:p>
    <w:sectPr>
      <w:headerReference w:type="default" r:id="rId11"/>
      <w:footerReference w:type="default" r:id="rId12"/>
      <w:type w:val="nextPage"/>
      <w:pgSz w:w="11906" w:h="16838"/>
      <w:pgMar w:left="1440" w:right="1440" w:header="720" w:top="1440"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rFonts w:ascii="Calibri" w:hAnsi="Calibri" w:eastAsia="Calibri" w:cs="Calibri"/>
        <w:sz w:val="20"/>
        <w:szCs w:val="20"/>
      </w:rPr>
    </w:pPr>
    <w:r>
      <w:rPr>
        <w:rFonts w:eastAsia="Calibri" w:cs="Calibri" w:ascii="Calibri" w:hAnsi="Calibri"/>
        <w:sz w:val="20"/>
        <w:szCs w:val="20"/>
      </w:rPr>
      <w:t>Prefeitura Municipal de Massapê | Secretaria da Juventude, Desporto, Cultura, Turismo e Lazer</w:t>
    </w:r>
  </w:p>
  <w:p>
    <w:pPr>
      <w:pStyle w:val="Normal1"/>
      <w:jc w:val="center"/>
      <w:rPr>
        <w:rFonts w:ascii="Calibri" w:hAnsi="Calibri" w:eastAsia="Calibri" w:cs="Calibri"/>
        <w:sz w:val="20"/>
        <w:szCs w:val="20"/>
      </w:rPr>
    </w:pPr>
    <w:r>
      <w:rPr>
        <w:rFonts w:eastAsia="Calibri" w:cs="Calibri" w:ascii="Calibri" w:hAnsi="Calibri"/>
        <w:sz w:val="20"/>
        <w:szCs w:val="20"/>
      </w:rPr>
      <w:t xml:space="preserve">CNPJ: </w:t>
    </w:r>
    <w:r>
      <w:rPr>
        <w:rFonts w:eastAsia="Calibri" w:cs="Calibri" w:ascii="Calibri" w:hAnsi="Calibri"/>
        <w:color w:val="333333"/>
        <w:sz w:val="20"/>
        <w:szCs w:val="20"/>
        <w:highlight w:val="white"/>
      </w:rPr>
      <w:t xml:space="preserve">07.598.691/0001-16 | </w:t>
    </w:r>
    <w:r>
      <w:rPr>
        <w:rFonts w:eastAsia="Calibri" w:cs="Calibri" w:ascii="Calibri" w:hAnsi="Calibri"/>
        <w:sz w:val="20"/>
        <w:szCs w:val="20"/>
      </w:rPr>
      <w:t xml:space="preserve">Pc Municipal, S/n - Centro, Massapê - Ceará | CEP: 62.140-000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rFonts w:ascii="Calibri" w:hAnsi="Calibri" w:eastAsia="Calibri" w:cs="Calibri"/>
        <w:sz w:val="24"/>
        <w:szCs w:val="24"/>
      </w:rPr>
    </w:pPr>
    <w:r>
      <w:rPr/>
      <w:drawing>
        <wp:inline distT="0" distB="0" distL="0" distR="0">
          <wp:extent cx="2824480" cy="65849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2824480" cy="658495"/>
                  </a:xfrm>
                  <a:prstGeom prst="rect">
                    <a:avLst/>
                  </a:prstGeom>
                </pic:spPr>
              </pic:pic>
            </a:graphicData>
          </a:graphic>
        </wp:inline>
      </w:drawing>
    </w:r>
    <w:r>
      <w:rPr/>
      <w:drawing>
        <wp:inline distT="0" distB="0" distL="0" distR="0">
          <wp:extent cx="2805430" cy="649605"/>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rcRect l="0" t="34160" r="0" b="25083"/>
                  <a:stretch>
                    <a:fillRect/>
                  </a:stretch>
                </pic:blipFill>
                <pic:spPr bwMode="auto">
                  <a:xfrm>
                    <a:off x="0" y="0"/>
                    <a:ext cx="2805430" cy="649605"/>
                  </a:xfrm>
                  <a:prstGeom prst="rect">
                    <a:avLst/>
                  </a:prstGeom>
                </pic:spPr>
              </pic:pic>
            </a:graphicData>
          </a:graphic>
        </wp:inline>
      </w:drawing>
    </w:r>
  </w:p>
  <w:p>
    <w:pPr>
      <w:pStyle w:val="Normal1"/>
      <w:jc w:val="right"/>
      <w:rPr>
        <w:rFonts w:ascii="Calibri" w:hAnsi="Calibri" w:eastAsia="Calibri" w:cs="Calibri"/>
        <w:sz w:val="24"/>
        <w:szCs w:val="24"/>
      </w:rPr>
    </w:pPr>
    <w:r>
      <w:rPr/>
      <w:fldChar w:fldCharType="begin"/>
    </w:r>
    <w:r>
      <w:rPr/>
      <w:instrText> PAGE </w:instrText>
    </w:r>
    <w:r>
      <w:rPr/>
      <w:fldChar w:fldCharType="separate"/>
    </w:r>
    <w:r>
      <w:rPr/>
      <w:t>19</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3">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apacultural.secult.ce.gov.br/oportunidade/4477/" TargetMode="External"/><Relationship Id="rId3" Type="http://schemas.openxmlformats.org/officeDocument/2006/relationships/hyperlink" Target="https://www.planalto.gov.br/ccivil_03/_Ato2015-2018/2015/Lei/L13146.htm" TargetMode="External"/><Relationship Id="rId4" Type="http://schemas.openxmlformats.org/officeDocument/2006/relationships/hyperlink" Target="https://servicos.receita.fazenda.gov.br/Servicos/certidaointernet/PF/Emitir" TargetMode="External"/><Relationship Id="rId5" Type="http://schemas.openxmlformats.org/officeDocument/2006/relationships/hyperlink" Target="https://internet-consultapublica.apps.sefaz.ce.gov.br/certidaonegativa/preparar-consultar" TargetMode="External"/><Relationship Id="rId6" Type="http://schemas.openxmlformats.org/officeDocument/2006/relationships/hyperlink" Target="https://cndt-certidao.tst.jus.br/inicio.faces;jsessionid=sja9rY0Osd_FvswCXUlId5YUzcGhPgR98Klzb8g2.cndt-certidao-19-xb6ph" TargetMode="External"/><Relationship Id="rId7" Type="http://schemas.openxmlformats.org/officeDocument/2006/relationships/hyperlink" Target="https://servicos.receita.fazenda.gov.br/Servicos/certidaointernet/PJ/Emitir" TargetMode="External"/><Relationship Id="rId8" Type="http://schemas.openxmlformats.org/officeDocument/2006/relationships/hyperlink" Target="https://internet-consultapublica.apps.sefaz.ce.gov.br/certidaonegativa/preparar-consultar" TargetMode="External"/><Relationship Id="rId9" Type="http://schemas.openxmlformats.org/officeDocument/2006/relationships/hyperlink" Target="https://consulta-crf.caixa.gov.br/consultacrf/pages/consultaEmpregador.jsf" TargetMode="External"/><Relationship Id="rId10" Type="http://schemas.openxmlformats.org/officeDocument/2006/relationships/hyperlink" Target="https://cndt-certidao.tst.jus.br/inicio.faces;jsessionid=sja9rY0Osd_FvswCXUlId5YUzcGhPgR98Klzb8g2.cndt-certidao-19-xb6ph"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LibreOffice/7.1.1.2$Windows_X86_64 LibreOffice_project/fe0b08f4af1bacafe4c7ecc87ce55bb426164676</Application>
  <AppVersion>15.0000</AppVersion>
  <Pages>19</Pages>
  <Words>6157</Words>
  <Characters>35477</Characters>
  <CharactersWithSpaces>41392</CharactersWithSpaces>
  <Paragraphs>344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2023-09-15T12:21:50Z</dcterms:modified>
  <cp:revision>1</cp:revision>
  <dc:subject/>
  <dc:title/>
</cp:coreProperties>
</file>