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ind w:left="0" w:right="14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4"/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Table5"/>
              <w:tblW w:w="819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247"/>
              <w:gridCol w:w="968"/>
              <w:gridCol w:w="1319"/>
              <w:gridCol w:w="1066"/>
              <w:gridCol w:w="1194"/>
              <w:gridCol w:w="1403"/>
            </w:tblGrid>
            <w:tr>
              <w:trPr>
                <w:trHeight w:val="108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247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Style w:val="Table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902"/>
        <w:gridCol w:w="1341"/>
        <w:gridCol w:w="1926"/>
        <w:gridCol w:w="1298"/>
        <w:gridCol w:w="1036"/>
      </w:tblGrid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 </w:t>
      </w: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7"/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9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5</Pages>
  <Words>976</Words>
  <Characters>5344</Characters>
  <CharactersWithSpaces>6298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2023-08-25T18:04:27Z</dcterms:modified>
  <cp:revision>2</cp:revision>
  <dc:subject/>
  <dc:title/>
</cp:coreProperties>
</file>